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49" w:rsidRPr="00767049" w:rsidRDefault="00767049" w:rsidP="00767049">
      <w:pPr>
        <w:widowControl w:val="0"/>
        <w:spacing w:line="266" w:lineRule="exact"/>
        <w:ind w:firstLine="0"/>
        <w:contextualSpacing/>
        <w:jc w:val="center"/>
        <w:rPr>
          <w:b/>
        </w:rPr>
      </w:pPr>
      <w:bookmarkStart w:id="0" w:name="_GoBack"/>
      <w:bookmarkEnd w:id="0"/>
      <w:r>
        <w:rPr>
          <w:rFonts w:eastAsia="Times New Roman"/>
          <w:b/>
          <w:bCs/>
          <w:lang w:eastAsia="lt-LT" w:bidi="lt-LT"/>
        </w:rPr>
        <w:t>KA</w:t>
      </w:r>
      <w:r w:rsidRPr="00767049">
        <w:rPr>
          <w:rFonts w:eastAsia="Times New Roman"/>
          <w:b/>
          <w:bCs/>
          <w:lang w:eastAsia="lt-LT" w:bidi="lt-LT"/>
        </w:rPr>
        <w:t xml:space="preserve">UNO </w:t>
      </w:r>
      <w:r w:rsidRPr="00767049">
        <w:rPr>
          <w:b/>
        </w:rPr>
        <w:t>LOPŠELIO-DARŽELIO „VAIDILUTĖ“</w:t>
      </w:r>
    </w:p>
    <w:p w:rsidR="00767049" w:rsidRPr="00767049" w:rsidRDefault="00767049" w:rsidP="00767049">
      <w:pPr>
        <w:widowControl w:val="0"/>
        <w:spacing w:line="266" w:lineRule="exact"/>
        <w:ind w:firstLine="0"/>
        <w:contextualSpacing/>
        <w:jc w:val="center"/>
        <w:rPr>
          <w:b/>
        </w:rPr>
      </w:pPr>
      <w:r w:rsidRPr="00767049">
        <w:rPr>
          <w:b/>
        </w:rPr>
        <w:t>SIGITOS KRASAUSKIENĖS</w:t>
      </w: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2022 METŲ VEIKLOS ATASKAITA</w:t>
      </w:r>
    </w:p>
    <w:p w:rsidR="00767049" w:rsidRPr="00767049" w:rsidRDefault="00767049" w:rsidP="00767049">
      <w:pPr>
        <w:widowControl w:val="0"/>
        <w:spacing w:line="266" w:lineRule="exact"/>
        <w:ind w:firstLine="0"/>
        <w:contextualSpacing/>
        <w:jc w:val="center"/>
        <w:rPr>
          <w:b/>
        </w:rPr>
      </w:pPr>
    </w:p>
    <w:p w:rsidR="00767049" w:rsidRPr="00767049" w:rsidRDefault="00767049" w:rsidP="00767049">
      <w:pPr>
        <w:widowControl w:val="0"/>
        <w:tabs>
          <w:tab w:val="center" w:leader="underscore" w:pos="2127"/>
          <w:tab w:val="center" w:leader="underscore" w:pos="2977"/>
        </w:tabs>
        <w:spacing w:line="266" w:lineRule="exact"/>
        <w:ind w:firstLine="0"/>
        <w:contextualSpacing/>
        <w:jc w:val="center"/>
        <w:rPr>
          <w:rFonts w:eastAsia="Times New Roman"/>
          <w:lang w:eastAsia="lt-LT" w:bidi="lt-LT"/>
        </w:rPr>
      </w:pPr>
      <w:r w:rsidRPr="00767049">
        <w:rPr>
          <w:lang w:eastAsia="lt-LT"/>
        </w:rPr>
        <w:t xml:space="preserve">____________ </w:t>
      </w:r>
      <w:r w:rsidRPr="00767049">
        <w:rPr>
          <w:rFonts w:eastAsia="Times New Roman"/>
          <w:lang w:eastAsia="lt-LT" w:bidi="lt-LT"/>
        </w:rPr>
        <w:t xml:space="preserve">Nr. </w:t>
      </w:r>
      <w:r w:rsidRPr="00767049">
        <w:rPr>
          <w:lang w:eastAsia="lt-LT"/>
        </w:rPr>
        <w:t>____________</w:t>
      </w:r>
    </w:p>
    <w:p w:rsidR="00767049" w:rsidRPr="00767049" w:rsidRDefault="00767049" w:rsidP="00767049">
      <w:pPr>
        <w:widowControl w:val="0"/>
        <w:tabs>
          <w:tab w:val="center" w:leader="underscore" w:pos="2127"/>
          <w:tab w:val="center" w:leader="underscore" w:pos="2977"/>
        </w:tabs>
        <w:spacing w:line="266" w:lineRule="exact"/>
        <w:ind w:firstLine="0"/>
        <w:contextualSpacing/>
        <w:jc w:val="center"/>
        <w:rPr>
          <w:rFonts w:eastAsia="Times New Roman"/>
          <w:lang w:eastAsia="lt-LT" w:bidi="lt-LT"/>
        </w:rPr>
      </w:pPr>
      <w:r w:rsidRPr="00767049">
        <w:rPr>
          <w:rFonts w:eastAsia="Times New Roman"/>
          <w:lang w:eastAsia="lt-LT" w:bidi="lt-LT"/>
        </w:rPr>
        <w:t>Kaunas</w:t>
      </w:r>
    </w:p>
    <w:p w:rsidR="00767049" w:rsidRPr="00767049" w:rsidRDefault="00767049" w:rsidP="00767049">
      <w:pPr>
        <w:widowControl w:val="0"/>
        <w:spacing w:line="266" w:lineRule="exact"/>
        <w:ind w:firstLine="0"/>
        <w:contextualSpacing/>
        <w:jc w:val="center"/>
        <w:rPr>
          <w:rFonts w:eastAsia="Times New Roman"/>
          <w:b/>
          <w:bCs/>
          <w:lang w:eastAsia="lt-LT" w:bidi="lt-LT"/>
        </w:rPr>
      </w:pP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I SKYRIUS</w:t>
      </w: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STRATEGINIO PLANO IR METINIO VEIKLOS PLANO ĮGYVENDINIMAS</w:t>
      </w:r>
    </w:p>
    <w:p w:rsidR="00767049" w:rsidRPr="00767049" w:rsidRDefault="00767049" w:rsidP="00767049">
      <w:pPr>
        <w:widowControl w:val="0"/>
        <w:tabs>
          <w:tab w:val="center" w:leader="underscore" w:pos="2127"/>
          <w:tab w:val="center" w:leader="underscore" w:pos="2977"/>
        </w:tabs>
        <w:spacing w:line="266" w:lineRule="exact"/>
        <w:ind w:firstLine="0"/>
        <w:contextualSpacing/>
        <w:jc w:val="center"/>
        <w:rPr>
          <w:rFonts w:eastAsia="Times New Roman"/>
          <w:b/>
          <w:bCs/>
          <w:lang w:eastAsia="lt-LT" w:bidi="lt-LT"/>
        </w:rPr>
      </w:pPr>
    </w:p>
    <w:tbl>
      <w:tblPr>
        <w:tblStyle w:val="Lentelstinklelis"/>
        <w:tblW w:w="0" w:type="auto"/>
        <w:tblLook w:val="04A0" w:firstRow="1" w:lastRow="0" w:firstColumn="1" w:lastColumn="0" w:noHBand="0" w:noVBand="1"/>
      </w:tblPr>
      <w:tblGrid>
        <w:gridCol w:w="9628"/>
      </w:tblGrid>
      <w:tr w:rsidR="00767049" w:rsidRPr="00767049" w:rsidTr="00F32576">
        <w:tc>
          <w:tcPr>
            <w:tcW w:w="9628" w:type="dxa"/>
          </w:tcPr>
          <w:p w:rsidR="00767049" w:rsidRPr="00767049" w:rsidRDefault="00767049" w:rsidP="00767049">
            <w:pPr>
              <w:widowControl w:val="0"/>
              <w:jc w:val="both"/>
              <w:rPr>
                <w:rFonts w:eastAsia="Courier New"/>
                <w:lang w:eastAsia="lt-LT" w:bidi="lt-LT"/>
              </w:rPr>
            </w:pPr>
            <w:r w:rsidRPr="00767049">
              <w:rPr>
                <w:rFonts w:eastAsia="Courier New"/>
                <w:lang w:eastAsia="lt-LT" w:bidi="lt-LT"/>
              </w:rPr>
              <w:t>2022-2024 metų strateginio plano, 2022 metų veiklos plano įgyvendinimo kryptys, svarbiausi rezultatai bei rodikliai įgyvendinant 2022-2024 metų strategiją buvo siekiama šių tikslų: 1. Tikslas – Siekti ugdyti sveikos ir saugios gyvensenos įgūdžius stiprinant vaiko psichinę, emocinę, fizinę sveikatą; 2. Tikslas – gerinti vaiko ugdymo(si) vientisumą plečiant bendradarbiavimą su ugdytinio šeima, taikant IKT; 3. Tikslas – siekiant modernios, saugios, estetiškos ugdymo(si) aplinkos atnaujinti įstaigos patalpas, tobulinti edukacines erdves.</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Siekiant pirmo strateginio tikslo, išsikėlėm uždavinį – plėtoti saugią aplinką, užtikrinančią sveikos gyvensenos nuostatų formavimą. Pasiektą rezultatą vertiname labai gerai, pasiektas planuotas rezultatas. Įstaigoje buvo plėtojama saugią aplinką, užtikrinančios sveikos gyvensenos nuostatų formavimas. Parengta integruota programa „Sveikos gyvensenos įgūdžių formavimas“. Programą rengė įstaigos specialistų ir pedagogų darbo grupė. Šioje programoje dalyvauja 90% ugdytinių. Atliktas tyrimas sveikatos stiprinimo ir procesų vertinimui „Vaikų emocinė ir fizinė sveikata“ tyrime dalyvavo 75% ugdytinių tėvų, 100% pedagogų. Atlikus tyrimo analizę, išsiaiškinome kur yra probleminės sritys. Didelis dėmesys bus skiriamas problemoms šalinti.</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Parengtos ir parašytos respublikinio LTOK projekto „Olimpinė karta“ programos: „Keliaujame, žaidžiame, sportuojame, džiaugiamės“; „Kaip gera ir smagu sportuoti visiems kartu“, šios programos gavo 400 eurų finansavimą iš Lietuvos Tautinio Olimpinio komiteto. 90% ugdytinių ir jų tėvelių aktyviai dalyvavo šio projekto veiklose. Į projekto veiklas aktyviai įsijungė ir socialiniai partneriai: lopšeliai darželiai „Malūnėlis ir „Klausutis“. Efektingai vaikų fizinėms veikloms, sveikatinimui įgyvendinti buvo išnaudojamas refleksensorinis „Kneipo“ takas. Sveikos gyvensenos akcija „Žalioji palangė“ turi tęstinumą, ji persikelia į kieme esantį šiltnamį. Formuojant vaikų sveikos mitybos įpročius, šiltnamyje vyko organizuotos pažintinės veiklos, dvi mokomosios veiklos vyko edukaciniame sode. Pavasarį – „Stiklinaitė žalio pavasario“, rudenį – „Rudens gėrybių košė“. Veiklose dalyvavo 90% ugdytinių, kurie ugdėsi sveikos gyvensenos kompetencijas. Įstaigos edukacinis sodas ir edukacinis šiltnamis, refleksensorinis „Kneipo“ takas įgalina vaikus ir mokytojus veikti netipinėje aplinkoje, suteikia platesnes galimybes patirtiniam ugdymui. 90% vaikų aktyviai dalyvauja respublikinėje akcijoje, projektuose: „Rieda ratai, rateliukai“; „Linksmasis koridorius“; „Futboliuko kalėdos“; „Lietuvos mažųjų žaidynės 2022“; „Augu su krepšiniu“; „Mažoji mylia – 2022“; „Aktyvus koridorius“; „Pasaulinė orientavimosi diena“</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Didelis dėmesys skiriamas STEAM veikloms. Projektai: „STEAM adventure“; STEAM projektas „Žaidimų aikštelėje“; STEAM projektas „Žaliasis daržiukas“; „Mažųjų Velykos su STEAM“; vaikų virtuali STEAM paroda – kūrybinės dirbtuvės; STEAM „Neužmirštuolė Lietuvos gynėjams“; STEAM ir Užgavėnių barškučiai“; „STEAM ir smėlio kūrėjas“ „STEAM ir emocijų paletė“. STEAM ugdymas yra vienas iš šiuolaikiškiausių ugdymo būdų, integruojantis gamtos mokslus, technologijų ir inžinerijos, menų ir matematikos disciplinas, siejant jas su realiu pasauliu. Eksperimentais, tyrinėjimais grįstas ugdymas, vaikams padėjo daryti prielaidas, kelti hipotezes, fiksuoti duomenis, įsivertinti, kritiškai mąstyti, reflektuoti.</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 xml:space="preserve">Skatinant vaikų empatiją. siekiant sumažinti patyčias patiriančių vaikų skaičių, įgalinant vaikus rūpintis savo sveikata įgyvendintos penkios prevencinės programos. Tarptautinė socialinių bei emocinių sunkumų įveikimo programa „Zipio draugai“ vykdoma dviejose priešmokyklinio amžiaus grupėse, programoje dalyvauja 21% ugdytinių. Alkoholio, tabako ir kitų psichiką veikiančių medžiagų vartojimo“ prevencijos programa, vykdoma visose darželio grupėse integruota į ugdymo procesą, vykdomos tęstinės prevencinės programos: „Asmens saugumo įgūdžiai“; „Geros ir blogos paslaptys“; 4-6 metų vaikams sveikatinimo prevencijos programa </w:t>
            </w:r>
            <w:r w:rsidRPr="00767049">
              <w:rPr>
                <w:rFonts w:eastAsia="Courier New"/>
                <w:lang w:eastAsia="lt-LT" w:bidi="lt-LT"/>
              </w:rPr>
              <w:lastRenderedPageBreak/>
              <w:t>„Saugau savo ir kitų sveikatą“; Kauno visuomenės biuro organizuojama prevencinė dantukų programa „Kauno vaikai šypsosi“. Šioje programoje dalyvavo septynios ikimokyklinio ugdymo vaikų grupės. Dviejų ikimokyklinio ugdymo grupių (21%) ugdytinių dalyvavo SEU olimpiadoje „Dramblys“. Vaikai tobulino socialinio emocinio ugdymo įgūdžius.</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Įgyvendinome metodinę integralią priemonę „Mokymosi per garsą, šokį, muziką metodikos specialiųjų ugdymosi poreikių vaikams taikymas“. Integralią priemonę rengė įstaigos pedagogai ir specialistai, veiklose dalyvavo 90% ugdytinių turinčių specialiųjų ugdymosi poreikių, per metus pravesta aštuonios veiklos.</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Didelis dėmesys skiriamas STEAM veikloms. Projektai: „STEAM adventure“; STEAM projektas „Žaidimų aikštelėje“; STEAM projektas „Žaliasis daržiukas“; „Mažųjų velykos su STEAM“; vaikų virtuali STEAM paroda – kūrybinės dirbtuvės „Neužmirštuolė Lietuvos gynėjams“; „STEAM ir Užgavėnių barškučiai“; „STEAM ir smėlio kūrėjas“; „STEAM ir emocijų paletė“. STEAM ugdymas yra vienas iš šiuolaikiškiausių ugdymo būdų, integruojantis gamtos mokslus, technologijų ir inžinerijos, menų ir matematikos disciplinas, siejant jas su realiu pasauliu. Eksperimentais, tyrinėjimais grįstas ugdymas, vaikams padėjo daryti prielaidas, kelti hipotezes, fiksuoti duomenis, įsivertinti, kritiškai mąstyti, reflektuoti.</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Vasaros laikotarpiu įstaigoje vyksta inovatyvi, kūrybinė, edukacinė stovykla „Vaikystės sparnai“. Į šios stovyklos veiklas aktyviai įsitraukia visa įstaigos bendruomenė. Stovyklos veiklose dalyvauja 90% ugdytinių, veiklų metu didelis dėmesys skiriamas sveikos gyvensenos, pažinimo, kūrybinėms kompetencijoms ugdyti.</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Atlikta anketinė (internetinėje platformoje) apklausa ugdytinių tėvams (globėjams), išsiaiškinta tėvų vertinančių ugdymo kokybę ugdytinių tėvai ugdymo kokybę vertina labai gerai faktinė – 80% (planinė – 76%), vaiko savijautą darželyje ugdytinių tėvai įvertino labai gerai – planinė ir faktinė 88%, ikimokyklinio amžiaus vaikų pasiekimų ir pažangos, lygis, atitinkantis vaiko raidą, faktinė – 80% (planinė 76%).</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Didelis dėmesys buvo skiriamas priešmokyklinio ugdymo programos atnaujinimui. Atsižvelgiant į šį tikslą, buvo organizuojamos paskaitos, seminarai, mokymai įstaigos pedagogams, bei priešmokyklinio ugdymo ugdytinių tėvams vyko mokymai „Priešmokyklinio ugdymo ypatumai. Žaidimo reikšmė“. Mokymus vedė medicinos psichologė, dr. Oksana Mačėnaitė.</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Įstaigą lanko 37 vaikai su specialiaisiais ugdymosi poreikiais, 25 vaikai su vidutiniais specialiaisiais ugdymosi poreikiais, 7 vaikai su dideliais specialiaisiais ugdymosi poreikiais ir 5 vaikai su nedideliais specialiais ugdymosi poreikiais. Visiems jiems parengtos individualios ugdymosi programos, kuriose atsižvelgta į vaikų individualias galimybes ir poreikius.</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70% pedagogių ir 80% ugdytinių ir 60% vaikų tėvų aktyviai įsitraukė į nuolat vykdomus du tarptautinius eTwinnig projektus: „Darni aplinka – įtraukiojo ugdymo/si įgalinimas“; „PATS – patyriau, atradau, tyrinėju, stebiu“.</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60% įstaigos pedagogų ir specialistų vykdė projektines veiklas keturiasdešimt trijuose (17 tarptautinių projektų daugiau nei 2021 metais) virtualiuose tarptautiniuose projektuose. 90% įstaigos pedagogių ir specialistų, kartu su ugdytiniais, dalyvavo virtualiuose trisdešimt devyniuose respublikiniuose projektuose 7 respublikiniais projektai daugiau nei 2021 metais) ir dvidešimt keturiuose miesto projektuose, akcijose, parodose (9 projektais daugiau nei 2021 metais) Šiose veiklose pedagogės 100% naudojo IK technologijas ir metodus.</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Įstaigos pedagogės organizavo kasmetinius tęstinius įstaigos projektus: du respublikinius projektus „Vaidilutės lietuvių tautosakoje“; „Olimpinė karta“ ir vieną ir tarptautinį projektą „Vaikystė skrieja aitvarais“; į šiuos projektus aktyviai įsitraukė 70% socialinių partnerių.</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 xml:space="preserve">30% (2021 m. – 20%) edukacinių, projektinių veiklų vyko socialinių partnerių patalpose: Kovo 11 – tosios progimnazijos stadione; Viktoro Kuprevičiaus progimnazijos bibliotekoje ir laboratorijoje; Vinco Kudirkos bibliotekos padaliniuose: „Berželis“; „Girstupis“; Kauno Miko Petrausko scenos menų mokykloje; Juozo Naujalio muzikos mokykloje; Algio Žikevičiaus saugaus vaiko mokykloje; atliekų tvarkymo tarnyboje „Ekonovus“; Kauno miesto muziejuose; St. Dariaus ir St. Girėno aerodrome; prekybos centre „Maxima“; Juozo Vitkaus inžinerijos batalione; Botanikos sode atidarant sodo šventę „Augalų žavadienis“, edukaciniuose ūkininkų ūkiuose. Socialiniai partneriai dalyvavo ir įstaigos veiklose vyko edukacinės programos su: Lietuvos virėjų ir konditerių asociacijos virtuvės šefais; jaunaisiais mokslininkais, kurie </w:t>
            </w:r>
            <w:r w:rsidRPr="00767049">
              <w:rPr>
                <w:rFonts w:eastAsia="Courier New"/>
                <w:lang w:eastAsia="lt-LT" w:bidi="lt-LT"/>
              </w:rPr>
              <w:lastRenderedPageBreak/>
              <w:t>vaikams demonstravo įvairius bandymus ir eksperimentus. Socialinių partnerių organizuojamose veiklose dalyvavo apie 80% ugdytinių.</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Pasirašyta bendradarbiavimo sutartis su VDU švietimo akademija. Švietimo akademijos studentai turės galimybę atlikti praktiką mūsų darželyje, o įstaigos pedagogės skleis gerąją patirtį jaunoms pedagogėms.</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Siekiant gerinti ugdymo kokybę, ieškant inovatyvių metodų ugdyme, darželyje išrinkta 5-6 metų mokinių taryba. Vaikai su administracija aptaria, kokios šventės jiems yra įdomios, kaip norėtų puošti darželį, kokių veiklų pageidauja grupėse ir įstaigos kieme.</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Įstaigos dvi pedagogės ir direktorė 2022-12-12 dalyvavo respublikinėje konferencijoje, eTwinning projekto „PATS – patyriau, atradau, tyrinėju, stebiu“, konferencijoje pedagogės pristatė įstaigos veiklas, kurios yra vykdomos šio projekto metu.</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2022-12-19 įstaigos direktorė ir dvi pedagogės pranešimą „Darni aplinka – įtraukusis ugdymas bendradarbiaujant su socialiniais partneriais ir šeima“, kuri pateikė metodinėje dienoje, pagal tarptautinį eTwinning projektą „Darni aplinka – įtraukiojo ugdymo(si) įgalinimas“.</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Dvi įstaigos pedagogės dalyvavo NŠA, ES projekte „Skaitmeninio ugdymo turinio kūrimas ir diegimas“ (Nr. 09.2.1.-ESFA-V-726-03-0001).</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Trys įstaigos pedagogės įgijo ikimokyklinio ugdymo mokytojo kvalifikacijas (dvi pedagogės baigė persikvalifikavimo studijas VDU, viena pedagogė baigė Kauno kolegija ir įgijo ikimokyklinio ugdymo specialybę).</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Lopšelio – darželio psichologė dalyvavo NŠA organizuotose grupinėse supervizijose psichologams taip pat skleidė gerąją patirtį tinklalapyje „Švietimo naujienos“, kuriame paskelbė straipsnį „Kaip padėti įveikti vaikams baimes piešiant“, straipsnis iliustruotas įstaigos ugdytinių piešiniais.</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100% pedagogių dalyvavo seminare „Specialiųjų ugdymosi poreikių turinčių mokinių ugdymo kokybės gerinimas ir jos vertinimas“.</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Pedagogės keldamos kvalifikaciją išklausė 2022 m. – 4334 valandas (2021 m. – 1530 val. t. y. daugiau net 2804 val.) įvairiuose seminaruose, mokymuose.</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Įstaigos bendruomenė 2022 metais apdovanota diplomais ir padėkomis: 1. LTOK diplomu už aktyvų dalyvavimą projekte „Olimpinė karta“; 2. RIUKKPA už aktyvų dalyvavimą „Lietuvos mažųjų žaidynės 2022“; 3. Už puikų pasirodymą ikimokyklinio ugdymo įstaigų šventėje „Futboliuko kalėdos“; 4. Kauno Juozo Naujalio muzikos gimnazijos padėka už auklėtinių parengimą ir dalyvavimą projekte „Kuriu savo vaikams“.</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Siekiant 2022-2024 metų antro strateginio tikslo įgyvendinimo 2022 m. išsikeltas tikslas: gerinti vaiko ugdymo(si) vientisumą plečiant bendradarbiavimą su ugdytinio šeima, taikant IKT; gerinant ugdymosi vientisumą stengiamasi kuo plačiau palaikyti bendradarbiavimą su ugdytinių šeimomis. Tėvai sistemingai informuojami, ne tik žodžiu, bet ir kasdien elektroninio dienyno pagalba „Mūsų darželis“ apie vaikų pasiekimus ir pažangą. Elektroniniame dienyne „Mūsų darželis“ 100% ugdytinių tėvų gali matyti, kokiomis temomis bus vykdomos veiklos, kokiuose projektuose, akcijose, renginiuose vaikai dalyvaus.</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Du kartus metuose pedagogai su vaikų tėvais individualiai aptaria kiekvieno vaiko padarytą pasiekimų pažangą.</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Pedagogai skatina ugdytinių tėvus domėtis vaikų pasiekimais, aptaria jų ugdymo(si) klausimus, teikia praktinių žinių. Nuolatinė pedagogų ir ugdytinių tėvų refleksija vaiko ugdymosi(si) ir pasiekimų pažangos vertinimo klausimais, padeda tobulinti ugdymo procesą.</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80% ugdytinių tėvų aktyviai dalyvauja įstaigoje organizuojamuose edukaciniuose renginiuose: sporto, pavasario, rudens šventėse, edukacinėse išvykose. Ugdytinių tėvai aktyviai įsijungė į renginius ir projektines veiklas: „Rudens gėrybių košė“; „Ant mėnulio ragelio sėdėjo nykštukas“; „Vaidilutės – lietuvių tautosakoje“; „Rido, rido po margutį“; „Kermošiuje buvau, riestainį pirkau“; „Vaikystė skrieja aitvarais“; „Žalioji palangė“; „Lietuvos mažųjų žaidynių 2022“; šeimos šventę „Bitės didelės ir mažos; bitės verda skanų medų“. Ugdytinių tėveliai aktyviai dalyvauja įstaigoje pravesdami edukacines veiklas vaikams ir supažindindami su savo profesijomis, tokių veiklų pravesta apie 30%, tiriamoje veikloje, programų rašyme, internetinio puslapio, įstaigos padėkų vizualizacijos kūrime, edukacinio šiltnamio ir „Kneipo“ tako įrengime.</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 xml:space="preserve">Siekiant trečio strateginio tikslo, išsikėlėme uždavinį – kurti funkcionalią ugdymo(si) </w:t>
            </w:r>
            <w:r w:rsidRPr="00767049">
              <w:rPr>
                <w:rFonts w:eastAsia="Courier New"/>
                <w:lang w:eastAsia="lt-LT" w:bidi="lt-LT"/>
              </w:rPr>
              <w:lastRenderedPageBreak/>
              <w:t>aplinką, atnaujinant aplinkas. Įstaigos pasiektą rezultatą vertiname gerai, šio tikslo priemones įgyvendinome 90%. Virtuvėje pakeisti elektros įvadai, kiemo teritorijoje įrengta atskira, ankstyvojo amžiaus vaikams, moderni funkcionali zona, kieme po edukaciniais įrenginiais įrengta 17 vnt. apsauginių dangų, 2 vnt. liejamų apsauginių dangų po edukaciniais krepšinio įrenginiais, kiemo aikštelėse įrengta – 3 vnt. naujų edukacinių pavėsinių. Padidėjus lauko edukacinių erdvių įvairovei, edukacinių įrenginių, vaikų ugdymo(si) procesas tapo sėkmingesnis, efektyvesnis, inovatyvesnis.</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Suremontuotas logopedės kabinetas, užsėmimai vyksta naujose atnaujintose erdvėse.</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Įstaigoje 80% atnaujinta IKT. Siekiant teikti kokybiškesnį ugdymą, įsigytos IKT priemonės: 6 daugialypės terpės projektoriai; 6 ekranai, kurie įrengti ikimokyklinėse grupėse; 11 išmaniųjų telefonų; 10 planšečių; 4 spausdintuvai.</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Atnaujintos ugdymosi aplinkos – 3-jose grupėse atnaujinti stalai ir kėdės, 8-niose grupėse atnaujintos spintos ir kiti baldai.</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Gerinant maitinimo organizavimą įstaigoje, įsigytas vienas šaldytuvas.</w:t>
            </w:r>
          </w:p>
          <w:p w:rsidR="00767049" w:rsidRPr="00767049" w:rsidRDefault="00767049" w:rsidP="00767049">
            <w:pPr>
              <w:widowControl w:val="0"/>
              <w:jc w:val="both"/>
              <w:rPr>
                <w:rFonts w:eastAsia="Courier New"/>
                <w:lang w:eastAsia="lt-LT" w:bidi="lt-LT"/>
              </w:rPr>
            </w:pPr>
            <w:r w:rsidRPr="00767049">
              <w:rPr>
                <w:rFonts w:eastAsia="Courier New"/>
                <w:lang w:eastAsia="lt-LT" w:bidi="lt-LT"/>
              </w:rPr>
              <w:t>Kieme nebaigti aplinkos tvarkymo darbai, (lauko teritorijoje grindinys nebaigtas kloti trinkelėmis), nes bankrutavo įmonė, turėjusi atlikti šiuos darbus, nors įstaiga pirkimo projektą pateikė vieni iš pirmųjų.</w:t>
            </w:r>
          </w:p>
        </w:tc>
      </w:tr>
    </w:tbl>
    <w:p w:rsidR="00767049" w:rsidRPr="00767049" w:rsidRDefault="00767049" w:rsidP="00767049">
      <w:pPr>
        <w:widowControl w:val="0"/>
        <w:spacing w:line="266" w:lineRule="exact"/>
        <w:ind w:firstLine="0"/>
        <w:contextualSpacing/>
        <w:jc w:val="center"/>
        <w:rPr>
          <w:rFonts w:eastAsia="Times New Roman"/>
          <w:b/>
          <w:bCs/>
          <w:lang w:eastAsia="lt-LT" w:bidi="lt-LT"/>
        </w:rPr>
      </w:pP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II SKYRIUS</w:t>
      </w:r>
    </w:p>
    <w:p w:rsidR="00767049" w:rsidRPr="00767049" w:rsidRDefault="00767049" w:rsidP="00767049">
      <w:pPr>
        <w:widowControl w:val="0"/>
        <w:numPr>
          <w:ilvl w:val="0"/>
          <w:numId w:val="37"/>
        </w:numPr>
        <w:spacing w:line="266" w:lineRule="exact"/>
        <w:contextualSpacing/>
        <w:jc w:val="center"/>
        <w:rPr>
          <w:rFonts w:eastAsia="Times New Roman"/>
          <w:b/>
          <w:bCs/>
          <w:lang w:eastAsia="lt-LT" w:bidi="lt-LT"/>
        </w:rPr>
      </w:pPr>
      <w:r w:rsidRPr="00767049">
        <w:rPr>
          <w:rFonts w:eastAsia="Times New Roman"/>
          <w:b/>
          <w:bCs/>
          <w:lang w:eastAsia="lt-LT" w:bidi="lt-LT"/>
        </w:rPr>
        <w:t>METŲ VEIKLOS UŽDUOTYS, REZULTATAI IR RODIKLIAI</w:t>
      </w:r>
    </w:p>
    <w:p w:rsidR="00767049" w:rsidRPr="00767049" w:rsidRDefault="00767049" w:rsidP="00767049">
      <w:pPr>
        <w:widowControl w:val="0"/>
        <w:numPr>
          <w:ilvl w:val="0"/>
          <w:numId w:val="38"/>
        </w:numPr>
        <w:spacing w:before="240" w:line="360" w:lineRule="auto"/>
        <w:contextualSpacing/>
        <w:jc w:val="both"/>
        <w:rPr>
          <w:rFonts w:eastAsia="Times New Roman"/>
          <w:b/>
          <w:bCs/>
        </w:rPr>
      </w:pPr>
      <w:r w:rsidRPr="00767049">
        <w:rPr>
          <w:rFonts w:eastAsia="Times New Roman"/>
          <w:b/>
          <w:bCs/>
        </w:rPr>
        <w:t>Pagrindiniai praėjusių metų veiklos rezultatai.</w:t>
      </w:r>
    </w:p>
    <w:tbl>
      <w:tblPr>
        <w:tblStyle w:val="Lentelstinklelis"/>
        <w:tblW w:w="0" w:type="auto"/>
        <w:jc w:val="center"/>
        <w:tblLayout w:type="fixed"/>
        <w:tblLook w:val="04A0" w:firstRow="1" w:lastRow="0" w:firstColumn="1" w:lastColumn="0" w:noHBand="0" w:noVBand="1"/>
      </w:tblPr>
      <w:tblGrid>
        <w:gridCol w:w="1838"/>
        <w:gridCol w:w="1843"/>
        <w:gridCol w:w="2126"/>
        <w:gridCol w:w="3821"/>
      </w:tblGrid>
      <w:tr w:rsidR="00767049" w:rsidRPr="00767049" w:rsidTr="00F32576">
        <w:trPr>
          <w:jc w:val="center"/>
        </w:trPr>
        <w:tc>
          <w:tcPr>
            <w:tcW w:w="1838" w:type="dxa"/>
            <w:vAlign w:val="center"/>
          </w:tcPr>
          <w:p w:rsidR="00767049" w:rsidRPr="00767049" w:rsidRDefault="00767049" w:rsidP="00767049">
            <w:pPr>
              <w:ind w:firstLine="0"/>
              <w:jc w:val="center"/>
              <w:rPr>
                <w:sz w:val="22"/>
                <w:szCs w:val="22"/>
              </w:rPr>
            </w:pPr>
            <w:r w:rsidRPr="00767049">
              <w:rPr>
                <w:sz w:val="22"/>
                <w:szCs w:val="22"/>
              </w:rPr>
              <w:t>Metų užduotys (toliau užduotys)</w:t>
            </w:r>
          </w:p>
        </w:tc>
        <w:tc>
          <w:tcPr>
            <w:tcW w:w="1843" w:type="dxa"/>
            <w:vAlign w:val="center"/>
          </w:tcPr>
          <w:p w:rsidR="00767049" w:rsidRPr="00767049" w:rsidRDefault="00767049" w:rsidP="00767049">
            <w:pPr>
              <w:widowControl w:val="0"/>
              <w:ind w:firstLine="0"/>
              <w:jc w:val="center"/>
              <w:rPr>
                <w:sz w:val="22"/>
                <w:szCs w:val="22"/>
              </w:rPr>
            </w:pPr>
            <w:r w:rsidRPr="00767049">
              <w:rPr>
                <w:rFonts w:eastAsia="Times New Roman"/>
                <w:sz w:val="22"/>
                <w:szCs w:val="22"/>
                <w:lang w:eastAsia="lt-LT" w:bidi="lt-LT"/>
              </w:rPr>
              <w:t xml:space="preserve">Siektini </w:t>
            </w:r>
            <w:r w:rsidRPr="00767049">
              <w:rPr>
                <w:rFonts w:eastAsia="Courier New"/>
                <w:sz w:val="22"/>
                <w:szCs w:val="22"/>
                <w:lang w:eastAsia="lt-LT" w:bidi="lt-LT"/>
              </w:rPr>
              <w:t>rezultatai</w:t>
            </w:r>
          </w:p>
        </w:tc>
        <w:tc>
          <w:tcPr>
            <w:tcW w:w="2126" w:type="dxa"/>
            <w:vAlign w:val="center"/>
          </w:tcPr>
          <w:p w:rsidR="00767049" w:rsidRPr="00767049" w:rsidRDefault="00767049" w:rsidP="00767049">
            <w:pPr>
              <w:spacing w:line="260" w:lineRule="exact"/>
              <w:ind w:left="-110" w:right="-107" w:firstLine="0"/>
              <w:jc w:val="center"/>
              <w:rPr>
                <w:sz w:val="22"/>
                <w:szCs w:val="22"/>
              </w:rPr>
            </w:pPr>
            <w:r w:rsidRPr="00767049">
              <w:rPr>
                <w:rFonts w:eastAsia="Courier New"/>
                <w:sz w:val="22"/>
                <w:szCs w:val="22"/>
                <w:lang w:eastAsia="lt-LT" w:bidi="lt-LT"/>
              </w:rPr>
              <w:t>Rezultatų vertinimo rodikliai (kuriais vadovaujantis vertinama, ar nustatytos užduotys įvykdytos)</w:t>
            </w:r>
          </w:p>
        </w:tc>
        <w:tc>
          <w:tcPr>
            <w:tcW w:w="3821" w:type="dxa"/>
            <w:vAlign w:val="center"/>
          </w:tcPr>
          <w:p w:rsidR="00767049" w:rsidRPr="00767049" w:rsidRDefault="00767049" w:rsidP="00767049">
            <w:pPr>
              <w:ind w:firstLine="0"/>
              <w:jc w:val="center"/>
              <w:rPr>
                <w:sz w:val="22"/>
                <w:szCs w:val="22"/>
              </w:rPr>
            </w:pPr>
            <w:r w:rsidRPr="00767049">
              <w:rPr>
                <w:rFonts w:eastAsia="Courier New"/>
                <w:sz w:val="22"/>
                <w:szCs w:val="22"/>
                <w:lang w:eastAsia="lt-LT" w:bidi="lt-LT"/>
              </w:rPr>
              <w:t>Pasiekti rezultatai ir jų rodikliai</w:t>
            </w:r>
          </w:p>
        </w:tc>
      </w:tr>
      <w:tr w:rsidR="00767049" w:rsidRPr="00767049" w:rsidTr="00F32576">
        <w:trPr>
          <w:jc w:val="center"/>
        </w:trPr>
        <w:tc>
          <w:tcPr>
            <w:tcW w:w="1838" w:type="dxa"/>
          </w:tcPr>
          <w:p w:rsidR="00767049" w:rsidRPr="00767049" w:rsidRDefault="00767049" w:rsidP="00767049">
            <w:pPr>
              <w:ind w:firstLine="0"/>
            </w:pPr>
            <w:r w:rsidRPr="00767049">
              <w:rPr>
                <w:lang w:eastAsia="lt-LT"/>
              </w:rPr>
              <w:t>1. Užtikrinti gerus ugdymo(si) rezultatus.</w:t>
            </w:r>
          </w:p>
        </w:tc>
        <w:tc>
          <w:tcPr>
            <w:tcW w:w="1843" w:type="dxa"/>
          </w:tcPr>
          <w:p w:rsidR="00767049" w:rsidRPr="00767049" w:rsidRDefault="00767049" w:rsidP="00767049">
            <w:pPr>
              <w:ind w:firstLine="0"/>
            </w:pPr>
            <w:r w:rsidRPr="00767049">
              <w:rPr>
                <w:rFonts w:eastAsia="Times New Roman"/>
              </w:rPr>
              <w:t xml:space="preserve">1.1. </w:t>
            </w:r>
            <w:r w:rsidRPr="00767049">
              <w:rPr>
                <w:lang w:eastAsia="lt-LT"/>
              </w:rPr>
              <w:t>Padidės</w:t>
            </w:r>
            <w:r w:rsidRPr="00767049">
              <w:rPr>
                <w:rFonts w:eastAsia="Times New Roman"/>
              </w:rPr>
              <w:t xml:space="preserve"> ikimokyklinio amžiaus vaikų pasiekimų ir pažangos lygio, atitinkančio vaiko raidą, dalis, procentais.</w:t>
            </w:r>
          </w:p>
        </w:tc>
        <w:tc>
          <w:tcPr>
            <w:tcW w:w="2126" w:type="dxa"/>
          </w:tcPr>
          <w:p w:rsidR="00767049" w:rsidRPr="00767049" w:rsidRDefault="00767049" w:rsidP="00767049">
            <w:pPr>
              <w:ind w:firstLine="0"/>
            </w:pPr>
            <w:r w:rsidRPr="00767049">
              <w:rPr>
                <w:rFonts w:eastAsia="Times New Roman"/>
              </w:rPr>
              <w:t xml:space="preserve">1.1. </w:t>
            </w:r>
            <w:r w:rsidRPr="00767049">
              <w:rPr>
                <w:shd w:val="clear" w:color="auto" w:fill="FFFFFF"/>
              </w:rPr>
              <w:t xml:space="preserve">Iki 2022-12-20 nemažiau kaip 76% (buvo </w:t>
            </w:r>
            <w:r w:rsidRPr="00767049">
              <w:rPr>
                <w:rFonts w:eastAsia="Times New Roman"/>
                <w:bCs/>
                <w:lang w:eastAsia="lt-LT" w:bidi="lt-LT"/>
              </w:rPr>
              <w:t xml:space="preserve">– </w:t>
            </w:r>
            <w:r w:rsidRPr="00767049">
              <w:rPr>
                <w:shd w:val="clear" w:color="auto" w:fill="FFFFFF"/>
              </w:rPr>
              <w:t>75%).</w:t>
            </w:r>
          </w:p>
        </w:tc>
        <w:tc>
          <w:tcPr>
            <w:tcW w:w="3821" w:type="dxa"/>
          </w:tcPr>
          <w:p w:rsidR="00767049" w:rsidRPr="00767049" w:rsidRDefault="00767049" w:rsidP="00767049">
            <w:pPr>
              <w:ind w:firstLine="0"/>
              <w:jc w:val="both"/>
            </w:pPr>
            <w:r w:rsidRPr="00767049">
              <w:t>1.1. Ikimokyklinio ir ankstyvojo ugdymo grupių programa ir veiklos yra orientuotos</w:t>
            </w:r>
            <w:r w:rsidRPr="00767049">
              <w:rPr>
                <w:rFonts w:eastAsia="Courier New"/>
                <w:lang w:eastAsia="lt-LT" w:bidi="lt-LT"/>
              </w:rPr>
              <w:t xml:space="preserve"> į vaikų individualius gebėjimus ir poreikius. </w:t>
            </w:r>
          </w:p>
          <w:p w:rsidR="00767049" w:rsidRPr="00767049" w:rsidRDefault="00767049" w:rsidP="00767049">
            <w:pPr>
              <w:ind w:firstLine="0"/>
              <w:jc w:val="both"/>
            </w:pPr>
            <w:r w:rsidRPr="00767049">
              <w:t>Atlikus ikimokyklinio amžiaus vaikų pasiekimų ir pažangos lygio, atitinkančio vaiko raidą, vertinimą ir analizę, ikimokyklinio amžiaus vaikų pasiekimų ir pažangos lygis iki 2022-12-20 planinė reikšmė – 76% faktinė reikšmė – 80%.</w:t>
            </w:r>
          </w:p>
          <w:p w:rsidR="00767049" w:rsidRPr="00767049" w:rsidRDefault="00767049" w:rsidP="00767049">
            <w:pPr>
              <w:ind w:firstLine="0"/>
              <w:jc w:val="both"/>
            </w:pPr>
            <w:r w:rsidRPr="00767049">
              <w:rPr>
                <w:rFonts w:eastAsia="Times New Roman"/>
              </w:rPr>
              <w:t>Prieš metus buvo – 75%.</w:t>
            </w:r>
          </w:p>
        </w:tc>
      </w:tr>
      <w:tr w:rsidR="00767049" w:rsidRPr="00767049" w:rsidTr="00F32576">
        <w:trPr>
          <w:jc w:val="center"/>
        </w:trPr>
        <w:tc>
          <w:tcPr>
            <w:tcW w:w="1838" w:type="dxa"/>
            <w:vMerge w:val="restart"/>
          </w:tcPr>
          <w:p w:rsidR="00767049" w:rsidRPr="00767049" w:rsidRDefault="00767049" w:rsidP="00767049">
            <w:pPr>
              <w:ind w:firstLine="310"/>
              <w:jc w:val="both"/>
            </w:pPr>
          </w:p>
        </w:tc>
        <w:tc>
          <w:tcPr>
            <w:tcW w:w="1843" w:type="dxa"/>
          </w:tcPr>
          <w:p w:rsidR="00767049" w:rsidRPr="00767049" w:rsidRDefault="00767049" w:rsidP="00767049">
            <w:pPr>
              <w:ind w:firstLine="0"/>
            </w:pPr>
            <w:r w:rsidRPr="00767049">
              <w:rPr>
                <w:rFonts w:eastAsia="Times New Roman"/>
              </w:rPr>
              <w:t xml:space="preserve">1.2. </w:t>
            </w:r>
            <w:r w:rsidRPr="00767049">
              <w:rPr>
                <w:shd w:val="clear" w:color="auto" w:fill="FFFFFF"/>
              </w:rPr>
              <w:t>Priešmokyklinio amžiaus vaikų pasiekimų ir pažangos lygio, atitinkančio vaiko raidą, dalis, procentais liks nepakitęs arba padidės nežymiai.</w:t>
            </w:r>
          </w:p>
        </w:tc>
        <w:tc>
          <w:tcPr>
            <w:tcW w:w="2126" w:type="dxa"/>
          </w:tcPr>
          <w:p w:rsidR="00767049" w:rsidRPr="00767049" w:rsidRDefault="00767049" w:rsidP="00767049">
            <w:pPr>
              <w:ind w:firstLine="0"/>
              <w:jc w:val="both"/>
            </w:pPr>
            <w:r w:rsidRPr="00767049">
              <w:rPr>
                <w:rFonts w:eastAsia="Times New Roman"/>
              </w:rPr>
              <w:t xml:space="preserve">1.2. </w:t>
            </w:r>
            <w:r w:rsidRPr="00767049">
              <w:rPr>
                <w:shd w:val="clear" w:color="auto" w:fill="FFFFFF"/>
              </w:rPr>
              <w:t>Iki 2022-12-20 nemažiau kaip 83% (buvo</w:t>
            </w:r>
            <w:r w:rsidRPr="00767049">
              <w:rPr>
                <w:rFonts w:eastAsia="Times New Roman"/>
              </w:rPr>
              <w:t xml:space="preserve"> – </w:t>
            </w:r>
            <w:r w:rsidRPr="00767049">
              <w:rPr>
                <w:shd w:val="clear" w:color="auto" w:fill="FFFFFF"/>
              </w:rPr>
              <w:t>81%).</w:t>
            </w:r>
          </w:p>
        </w:tc>
        <w:tc>
          <w:tcPr>
            <w:tcW w:w="3821" w:type="dxa"/>
          </w:tcPr>
          <w:p w:rsidR="00767049" w:rsidRPr="00767049" w:rsidRDefault="00767049" w:rsidP="00767049">
            <w:pPr>
              <w:ind w:firstLine="0"/>
              <w:jc w:val="both"/>
            </w:pPr>
            <w:r w:rsidRPr="00767049">
              <w:t>1.2. Dviejose priešmokyklinio ugdymo grupėse, sudarytos kiekvienam vaikui palankios sąlygos lanksčiai ir mobiliai ugdymosi aplinkai. Dviejose priešmokyklinėse ugdymo grupės įrengtos multimedijos, kurias pedagogės efektyviai naudoja ugdymo procese. Atlikus priešmokyklinio amžiaus vaikų pasiekimų ir pažangos lygio, atitinkančio vaiko raidą, vertinimą ir analizę, priešmokyklinio amžiaus vaikų pasiekimų ir pažangos lygis iki 2022-12-20 buvo planinė reikšmė – 83% ir faktinė reikšmė – 85% (prieš metus buvo</w:t>
            </w:r>
            <w:r w:rsidRPr="00767049">
              <w:rPr>
                <w:rFonts w:eastAsia="Times New Roman"/>
              </w:rPr>
              <w:t xml:space="preserve"> – </w:t>
            </w:r>
            <w:r w:rsidRPr="00767049">
              <w:t>81%).</w:t>
            </w:r>
          </w:p>
        </w:tc>
      </w:tr>
      <w:tr w:rsidR="00767049" w:rsidRPr="00767049" w:rsidTr="00F32576">
        <w:trPr>
          <w:jc w:val="center"/>
        </w:trPr>
        <w:tc>
          <w:tcPr>
            <w:tcW w:w="1838" w:type="dxa"/>
            <w:vMerge/>
          </w:tcPr>
          <w:p w:rsidR="00767049" w:rsidRPr="00767049" w:rsidRDefault="00767049" w:rsidP="00767049">
            <w:pPr>
              <w:ind w:firstLine="0"/>
              <w:jc w:val="both"/>
            </w:pPr>
          </w:p>
        </w:tc>
        <w:tc>
          <w:tcPr>
            <w:tcW w:w="1843" w:type="dxa"/>
          </w:tcPr>
          <w:p w:rsidR="00767049" w:rsidRPr="00767049" w:rsidRDefault="00767049" w:rsidP="00767049">
            <w:pPr>
              <w:ind w:firstLine="0"/>
              <w:jc w:val="both"/>
            </w:pPr>
            <w:r w:rsidRPr="00767049">
              <w:rPr>
                <w:rFonts w:eastAsia="Times New Roman"/>
              </w:rPr>
              <w:t xml:space="preserve">1.3. </w:t>
            </w:r>
            <w:r w:rsidRPr="00767049">
              <w:rPr>
                <w:lang w:eastAsia="lt-LT"/>
              </w:rPr>
              <w:t>Padidės</w:t>
            </w:r>
            <w:r w:rsidRPr="00767049">
              <w:rPr>
                <w:rFonts w:eastAsia="Times New Roman"/>
              </w:rPr>
              <w:t xml:space="preserve"> tėvų (globėjų), labai gerai ir gerai (apklausos būdu) vertinančių ugdymo kokybę įstaigoje, dalis, procentais.</w:t>
            </w:r>
          </w:p>
        </w:tc>
        <w:tc>
          <w:tcPr>
            <w:tcW w:w="2126" w:type="dxa"/>
          </w:tcPr>
          <w:p w:rsidR="00767049" w:rsidRPr="00767049" w:rsidRDefault="00767049" w:rsidP="00767049">
            <w:pPr>
              <w:widowControl w:val="0"/>
              <w:ind w:firstLine="0"/>
              <w:jc w:val="both"/>
              <w:rPr>
                <w:rFonts w:eastAsia="Times New Roman"/>
                <w:lang w:eastAsia="lt-LT"/>
              </w:rPr>
            </w:pPr>
            <w:r w:rsidRPr="00767049">
              <w:t xml:space="preserve">1.3 </w:t>
            </w:r>
            <w:r w:rsidRPr="00767049">
              <w:rPr>
                <w:rFonts w:eastAsia="Times New Roman"/>
                <w:lang w:eastAsia="lt-LT"/>
              </w:rPr>
              <w:t>Labai gerai – 76% (buvo</w:t>
            </w:r>
            <w:r w:rsidRPr="00767049">
              <w:rPr>
                <w:shd w:val="clear" w:color="auto" w:fill="FFFFFF"/>
              </w:rPr>
              <w:t xml:space="preserve"> </w:t>
            </w:r>
            <w:r w:rsidRPr="00767049">
              <w:rPr>
                <w:rFonts w:eastAsia="Times New Roman"/>
                <w:bCs/>
                <w:lang w:eastAsia="lt-LT" w:bidi="lt-LT"/>
              </w:rPr>
              <w:t xml:space="preserve">– </w:t>
            </w:r>
            <w:r w:rsidRPr="00767049">
              <w:rPr>
                <w:rFonts w:eastAsia="Times New Roman"/>
                <w:lang w:eastAsia="lt-LT"/>
              </w:rPr>
              <w:t>75%);</w:t>
            </w:r>
          </w:p>
          <w:p w:rsidR="00767049" w:rsidRPr="00767049" w:rsidRDefault="00767049" w:rsidP="00767049">
            <w:pPr>
              <w:widowControl w:val="0"/>
              <w:ind w:firstLine="268"/>
              <w:jc w:val="both"/>
              <w:rPr>
                <w:rFonts w:eastAsia="Times New Roman"/>
                <w:lang w:eastAsia="lt-LT"/>
              </w:rPr>
            </w:pPr>
            <w:r w:rsidRPr="00767049">
              <w:rPr>
                <w:shd w:val="clear" w:color="auto" w:fill="FFFFFF"/>
              </w:rPr>
              <w:t>Gerai</w:t>
            </w:r>
            <w:r w:rsidRPr="00767049">
              <w:rPr>
                <w:rFonts w:eastAsia="Times New Roman"/>
                <w:lang w:eastAsia="lt-LT"/>
              </w:rPr>
              <w:t xml:space="preserve"> – 73% (buvo</w:t>
            </w:r>
            <w:r w:rsidRPr="00767049">
              <w:rPr>
                <w:shd w:val="clear" w:color="auto" w:fill="FFFFFF"/>
              </w:rPr>
              <w:t xml:space="preserve"> </w:t>
            </w:r>
            <w:r w:rsidRPr="00767049">
              <w:rPr>
                <w:rFonts w:eastAsia="Times New Roman"/>
                <w:bCs/>
                <w:lang w:eastAsia="lt-LT" w:bidi="lt-LT"/>
              </w:rPr>
              <w:t xml:space="preserve">– </w:t>
            </w:r>
            <w:r w:rsidRPr="00767049">
              <w:rPr>
                <w:rFonts w:eastAsia="Times New Roman"/>
                <w:lang w:eastAsia="lt-LT"/>
              </w:rPr>
              <w:t>71%.);</w:t>
            </w:r>
          </w:p>
          <w:p w:rsidR="00767049" w:rsidRPr="00767049" w:rsidRDefault="00767049" w:rsidP="00767049">
            <w:pPr>
              <w:widowControl w:val="0"/>
              <w:ind w:firstLine="268"/>
              <w:jc w:val="both"/>
              <w:rPr>
                <w:rFonts w:eastAsia="Times New Roman"/>
                <w:lang w:eastAsia="lt-LT"/>
              </w:rPr>
            </w:pPr>
            <w:r w:rsidRPr="00767049">
              <w:rPr>
                <w:rFonts w:eastAsia="Times New Roman"/>
                <w:lang w:eastAsia="lt-LT"/>
              </w:rPr>
              <w:t>Patenkinamai – 10% (buvo – 0);</w:t>
            </w:r>
          </w:p>
          <w:p w:rsidR="00767049" w:rsidRPr="00767049" w:rsidRDefault="00767049" w:rsidP="00767049">
            <w:pPr>
              <w:widowControl w:val="0"/>
              <w:ind w:firstLine="268"/>
              <w:jc w:val="both"/>
            </w:pPr>
            <w:r w:rsidRPr="00767049">
              <w:rPr>
                <w:rFonts w:eastAsia="Times New Roman"/>
                <w:lang w:eastAsia="lt-LT"/>
              </w:rPr>
              <w:t>Nepatenkinamai – 0% (buvo – 0).</w:t>
            </w:r>
          </w:p>
        </w:tc>
        <w:tc>
          <w:tcPr>
            <w:tcW w:w="3821" w:type="dxa"/>
          </w:tcPr>
          <w:p w:rsidR="00767049" w:rsidRPr="00767049" w:rsidRDefault="00767049" w:rsidP="00767049">
            <w:pPr>
              <w:ind w:firstLine="0"/>
              <w:jc w:val="both"/>
            </w:pPr>
            <w:r w:rsidRPr="00767049">
              <w:t xml:space="preserve">1.3. Ugdymo procese naudojamos IKT priemonės ir elektroninės, skaitmeninės platformos, netradiciniai, inovatyvūs metodai, leidžia efektyviau, aktyviau ugdytinių tėvams įsitraukti į įstaigos ugdymo procesą, kartu su vaikais dalyvauti virtualiuose projektuose ir veiklose. </w:t>
            </w:r>
          </w:p>
          <w:p w:rsidR="00767049" w:rsidRPr="00767049" w:rsidRDefault="00767049" w:rsidP="00767049">
            <w:pPr>
              <w:ind w:firstLine="0"/>
              <w:jc w:val="both"/>
            </w:pPr>
            <w:r w:rsidRPr="00767049">
              <w:t>Atlikus ugdytinių tėvų (globėjų) internetinę apklausą „Dėl įstaigos ugdymo kokybės vertinimo“. Labai gerai planinė – 76% faktinė – 80%, gerai planinė – 73%, faktinė – 73%, patenkinamai planinė 10%, faktinė – 2%, nepatenkinamai planinė ir faktinė – 0%.</w:t>
            </w:r>
          </w:p>
        </w:tc>
      </w:tr>
      <w:tr w:rsidR="00767049" w:rsidRPr="00767049" w:rsidTr="00F32576">
        <w:trPr>
          <w:jc w:val="center"/>
        </w:trPr>
        <w:tc>
          <w:tcPr>
            <w:tcW w:w="1838" w:type="dxa"/>
            <w:vMerge w:val="restart"/>
          </w:tcPr>
          <w:p w:rsidR="00767049" w:rsidRPr="00767049" w:rsidRDefault="00767049" w:rsidP="00767049">
            <w:pPr>
              <w:ind w:firstLine="0"/>
              <w:jc w:val="both"/>
            </w:pPr>
            <w:r w:rsidRPr="00767049">
              <w:rPr>
                <w:lang w:eastAsia="lt-LT"/>
              </w:rPr>
              <w:t>2. Užtikrinti</w:t>
            </w:r>
            <w:r w:rsidRPr="00767049">
              <w:t xml:space="preserve"> prasmingą ir saugią vaikų savijautą, puoselėjant bendruomenės bendradarbiavimo kultūrą ir įrengiant naujas vidaus bei lauko aplinkas.</w:t>
            </w:r>
          </w:p>
        </w:tc>
        <w:tc>
          <w:tcPr>
            <w:tcW w:w="1843" w:type="dxa"/>
          </w:tcPr>
          <w:p w:rsidR="00767049" w:rsidRPr="00767049" w:rsidRDefault="00767049" w:rsidP="00767049">
            <w:pPr>
              <w:ind w:firstLine="0"/>
              <w:jc w:val="both"/>
            </w:pPr>
            <w:r w:rsidRPr="00767049">
              <w:rPr>
                <w:rFonts w:eastAsia="Times New Roman"/>
              </w:rPr>
              <w:t xml:space="preserve">2.1. </w:t>
            </w:r>
            <w:r w:rsidRPr="00767049">
              <w:rPr>
                <w:lang w:eastAsia="lt-LT"/>
              </w:rPr>
              <w:t>Padidės</w:t>
            </w:r>
            <w:r w:rsidRPr="00767049">
              <w:rPr>
                <w:rFonts w:eastAsia="Times New Roman"/>
              </w:rPr>
              <w:t xml:space="preserve"> tėvų (globėjų), labai gerai ir gerai (apklausos būdu) vertinančių </w:t>
            </w:r>
            <w:r w:rsidRPr="00767049">
              <w:rPr>
                <w:rFonts w:eastAsia="Times New Roman"/>
                <w:lang w:eastAsia="lt-LT"/>
              </w:rPr>
              <w:t xml:space="preserve">vaiko savijautą </w:t>
            </w:r>
            <w:r w:rsidRPr="00767049">
              <w:rPr>
                <w:rFonts w:eastAsia="Times New Roman"/>
              </w:rPr>
              <w:t xml:space="preserve">įstaigoje, dalis, procentais. </w:t>
            </w:r>
          </w:p>
        </w:tc>
        <w:tc>
          <w:tcPr>
            <w:tcW w:w="2126" w:type="dxa"/>
          </w:tcPr>
          <w:p w:rsidR="00767049" w:rsidRPr="00767049" w:rsidRDefault="00767049" w:rsidP="00767049">
            <w:pPr>
              <w:ind w:firstLine="0"/>
              <w:jc w:val="both"/>
              <w:rPr>
                <w:rFonts w:eastAsia="Times New Roman"/>
                <w:lang w:eastAsia="lt-LT"/>
              </w:rPr>
            </w:pPr>
            <w:r w:rsidRPr="00767049">
              <w:rPr>
                <w:rFonts w:eastAsia="Times New Roman"/>
              </w:rPr>
              <w:t>2.</w:t>
            </w:r>
            <w:r w:rsidRPr="00767049">
              <w:rPr>
                <w:rFonts w:eastAsia="Times New Roman"/>
                <w:lang w:eastAsia="lt-LT"/>
              </w:rPr>
              <w:t xml:space="preserve">1. </w:t>
            </w:r>
            <w:r w:rsidRPr="00767049">
              <w:rPr>
                <w:lang w:eastAsia="lt-LT"/>
              </w:rPr>
              <w:t>Labai</w:t>
            </w:r>
            <w:r w:rsidRPr="00767049">
              <w:rPr>
                <w:rFonts w:eastAsia="Times New Roman"/>
                <w:lang w:eastAsia="lt-LT"/>
              </w:rPr>
              <w:t xml:space="preserve"> gerai – 88% (buvo</w:t>
            </w:r>
            <w:r w:rsidRPr="00767049">
              <w:rPr>
                <w:shd w:val="clear" w:color="auto" w:fill="FFFFFF"/>
              </w:rPr>
              <w:t xml:space="preserve"> </w:t>
            </w:r>
            <w:r w:rsidRPr="00767049">
              <w:rPr>
                <w:rFonts w:eastAsia="Times New Roman"/>
                <w:bCs/>
                <w:lang w:eastAsia="lt-LT" w:bidi="lt-LT"/>
              </w:rPr>
              <w:t xml:space="preserve">– </w:t>
            </w:r>
            <w:r w:rsidRPr="00767049">
              <w:rPr>
                <w:rFonts w:eastAsia="Times New Roman"/>
                <w:lang w:eastAsia="lt-LT"/>
              </w:rPr>
              <w:t>85%);</w:t>
            </w:r>
          </w:p>
          <w:p w:rsidR="00767049" w:rsidRPr="00767049" w:rsidRDefault="00767049" w:rsidP="00767049">
            <w:pPr>
              <w:widowControl w:val="0"/>
              <w:ind w:firstLine="268"/>
              <w:jc w:val="both"/>
              <w:rPr>
                <w:rFonts w:eastAsia="Times New Roman"/>
                <w:lang w:eastAsia="lt-LT"/>
              </w:rPr>
            </w:pPr>
            <w:r w:rsidRPr="00767049">
              <w:rPr>
                <w:rFonts w:eastAsia="Times New Roman"/>
                <w:lang w:eastAsia="lt-LT"/>
              </w:rPr>
              <w:t>Gerai – 84% (buvo – 80%.);</w:t>
            </w:r>
          </w:p>
          <w:p w:rsidR="00767049" w:rsidRPr="00767049" w:rsidRDefault="00767049" w:rsidP="00767049">
            <w:pPr>
              <w:widowControl w:val="0"/>
              <w:ind w:firstLine="268"/>
              <w:jc w:val="both"/>
              <w:rPr>
                <w:rFonts w:eastAsia="Times New Roman"/>
                <w:lang w:eastAsia="lt-LT"/>
              </w:rPr>
            </w:pPr>
            <w:r w:rsidRPr="00767049">
              <w:rPr>
                <w:rFonts w:eastAsia="Times New Roman"/>
                <w:lang w:eastAsia="lt-LT"/>
              </w:rPr>
              <w:t>Patenkinamai – 10% (buvo – 10%);</w:t>
            </w:r>
          </w:p>
          <w:p w:rsidR="00767049" w:rsidRPr="00767049" w:rsidRDefault="00767049" w:rsidP="00767049">
            <w:pPr>
              <w:widowControl w:val="0"/>
              <w:ind w:firstLine="268"/>
              <w:jc w:val="both"/>
            </w:pPr>
            <w:r w:rsidRPr="00767049">
              <w:rPr>
                <w:rFonts w:eastAsia="Times New Roman"/>
                <w:lang w:eastAsia="lt-LT"/>
              </w:rPr>
              <w:t>Nepatenkinamai – 0% (buvo</w:t>
            </w:r>
            <w:r w:rsidRPr="00767049">
              <w:rPr>
                <w:shd w:val="clear" w:color="auto" w:fill="FFFFFF"/>
              </w:rPr>
              <w:t xml:space="preserve"> </w:t>
            </w:r>
            <w:r w:rsidRPr="00767049">
              <w:rPr>
                <w:rFonts w:eastAsia="Times New Roman"/>
                <w:bCs/>
                <w:lang w:eastAsia="lt-LT" w:bidi="lt-LT"/>
              </w:rPr>
              <w:t xml:space="preserve">– </w:t>
            </w:r>
            <w:r w:rsidRPr="00767049">
              <w:rPr>
                <w:rFonts w:eastAsia="Times New Roman"/>
                <w:lang w:eastAsia="lt-LT"/>
              </w:rPr>
              <w:t>0%).</w:t>
            </w:r>
          </w:p>
        </w:tc>
        <w:tc>
          <w:tcPr>
            <w:tcW w:w="3821" w:type="dxa"/>
          </w:tcPr>
          <w:p w:rsidR="00767049" w:rsidRPr="00767049" w:rsidRDefault="00767049" w:rsidP="00767049">
            <w:pPr>
              <w:ind w:firstLine="0"/>
              <w:jc w:val="both"/>
            </w:pPr>
            <w:r w:rsidRPr="00767049">
              <w:t>2.1. Atlikus ugdytinių tėvų (globėjų) internetinę anketinę apklausą „Dėl vaikų savijautos įstaigoje“. Labai gerai – planinė ir faktinė reikšmė 88%, buvo 85%. Gerai – planinė ir faktinė – 84%, patenkinamai – planinė 10% faktinė 6% Nepatenkinamai – planinė ir faktinė – 0%. Labai gerai vaiko savijautą įstaigoje vertinančių tėvų (globėjų) padidėjo – 3%.</w:t>
            </w:r>
          </w:p>
        </w:tc>
      </w:tr>
      <w:tr w:rsidR="00767049" w:rsidRPr="00767049" w:rsidTr="00F32576">
        <w:trPr>
          <w:jc w:val="center"/>
        </w:trPr>
        <w:tc>
          <w:tcPr>
            <w:tcW w:w="1838" w:type="dxa"/>
            <w:vMerge/>
          </w:tcPr>
          <w:p w:rsidR="00767049" w:rsidRPr="00767049" w:rsidRDefault="00767049" w:rsidP="00767049">
            <w:pPr>
              <w:ind w:firstLine="310"/>
              <w:jc w:val="both"/>
              <w:rPr>
                <w:lang w:eastAsia="lt-LT"/>
              </w:rPr>
            </w:pPr>
          </w:p>
        </w:tc>
        <w:tc>
          <w:tcPr>
            <w:tcW w:w="1843" w:type="dxa"/>
          </w:tcPr>
          <w:p w:rsidR="00767049" w:rsidRPr="00767049" w:rsidRDefault="00767049" w:rsidP="00767049">
            <w:pPr>
              <w:ind w:firstLine="0"/>
              <w:jc w:val="both"/>
            </w:pPr>
            <w:r w:rsidRPr="00767049">
              <w:rPr>
                <w:rFonts w:eastAsia="Times New Roman"/>
                <w:lang w:eastAsia="lt-LT"/>
              </w:rPr>
              <w:t xml:space="preserve">2.2. </w:t>
            </w:r>
            <w:r w:rsidRPr="00767049">
              <w:rPr>
                <w:shd w:val="clear" w:color="auto" w:fill="FFFFFF"/>
              </w:rPr>
              <w:t>Atnaujintos ir sutvarkytos įstaigos vidaus ir lauko edukacinės erdvės.</w:t>
            </w:r>
          </w:p>
          <w:p w:rsidR="00767049" w:rsidRPr="00767049" w:rsidRDefault="00767049" w:rsidP="00767049">
            <w:pPr>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rPr>
                <w:lang w:eastAsia="lt-LT"/>
              </w:rPr>
            </w:pPr>
            <w:r w:rsidRPr="00767049">
              <w:t xml:space="preserve">2.3 Kiemo </w:t>
            </w:r>
            <w:r w:rsidRPr="00767049">
              <w:rPr>
                <w:shd w:val="clear" w:color="auto" w:fill="FFFFFF"/>
              </w:rPr>
              <w:t>teritorijoje</w:t>
            </w:r>
            <w:r w:rsidRPr="00767049">
              <w:t xml:space="preserve"> </w:t>
            </w:r>
            <w:r w:rsidRPr="00767049">
              <w:rPr>
                <w:lang w:eastAsia="lt-LT"/>
              </w:rPr>
              <w:t>įrengta atskira, ankstyvojo amžiaus vaikams, moderni, funkcionali edukacinė zona.</w:t>
            </w: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r w:rsidRPr="00767049">
              <w:t xml:space="preserve">2.4. Aštuoniose grupėse pakeisti </w:t>
            </w:r>
            <w:r w:rsidRPr="00767049">
              <w:lastRenderedPageBreak/>
              <w:t>ir atnaujinti baldai į modernius, inovatyvius, funkcionalius.</w:t>
            </w: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ind w:firstLine="0"/>
              <w:jc w:val="both"/>
            </w:pPr>
          </w:p>
          <w:p w:rsidR="00767049" w:rsidRPr="00767049" w:rsidRDefault="00767049" w:rsidP="00767049">
            <w:pPr>
              <w:ind w:firstLine="0"/>
              <w:jc w:val="both"/>
            </w:pPr>
          </w:p>
          <w:p w:rsidR="00767049" w:rsidRPr="00767049" w:rsidRDefault="00767049" w:rsidP="00767049">
            <w:pPr>
              <w:ind w:firstLine="0"/>
              <w:jc w:val="both"/>
            </w:pPr>
          </w:p>
          <w:p w:rsidR="00767049" w:rsidRPr="00767049" w:rsidRDefault="00767049" w:rsidP="00767049">
            <w:pPr>
              <w:ind w:firstLine="0"/>
              <w:jc w:val="both"/>
            </w:pPr>
          </w:p>
          <w:p w:rsidR="00767049" w:rsidRPr="00767049" w:rsidRDefault="00767049" w:rsidP="00767049">
            <w:pPr>
              <w:ind w:firstLine="0"/>
              <w:jc w:val="both"/>
            </w:pPr>
          </w:p>
          <w:p w:rsidR="00767049" w:rsidRPr="00767049" w:rsidRDefault="00767049" w:rsidP="00767049">
            <w:pPr>
              <w:ind w:firstLine="0"/>
              <w:jc w:val="both"/>
            </w:pPr>
          </w:p>
          <w:p w:rsidR="00767049" w:rsidRPr="00767049" w:rsidRDefault="00767049" w:rsidP="00767049">
            <w:pPr>
              <w:widowControl w:val="0"/>
              <w:ind w:firstLine="0"/>
              <w:jc w:val="both"/>
              <w:rPr>
                <w:rFonts w:eastAsia="Times New Roman"/>
              </w:rPr>
            </w:pPr>
            <w:r w:rsidRPr="00767049">
              <w:t>2.5. Šešiose grupėse įrengti daugialypės terpės projektoriai.</w:t>
            </w:r>
          </w:p>
        </w:tc>
        <w:tc>
          <w:tcPr>
            <w:tcW w:w="2126" w:type="dxa"/>
          </w:tcPr>
          <w:p w:rsidR="00767049" w:rsidRPr="00767049" w:rsidRDefault="00767049" w:rsidP="00767049">
            <w:pPr>
              <w:widowControl w:val="0"/>
              <w:ind w:firstLine="0"/>
              <w:jc w:val="both"/>
            </w:pPr>
            <w:r w:rsidRPr="00767049">
              <w:rPr>
                <w:lang w:eastAsia="lt-LT"/>
              </w:rPr>
              <w:lastRenderedPageBreak/>
              <w:t xml:space="preserve">2.2. </w:t>
            </w:r>
            <w:r w:rsidRPr="00767049">
              <w:rPr>
                <w:rFonts w:eastAsia="Times New Roman"/>
                <w:lang w:eastAsia="lt-LT"/>
              </w:rPr>
              <w:t xml:space="preserve">Užtikrinti vaikų sveikatos saugos reikalavimai pagal HN 131:2015 </w:t>
            </w:r>
            <w:r w:rsidRPr="00767049">
              <w:rPr>
                <w:spacing w:val="2"/>
                <w:shd w:val="clear" w:color="auto" w:fill="FFFFFF"/>
              </w:rPr>
              <w:t>„Vaikų žaidimų aikštelės ir patalpos. Bendrieji sveikatos saugos reikalavimai“.</w:t>
            </w:r>
          </w:p>
          <w:p w:rsidR="00767049" w:rsidRPr="00767049" w:rsidRDefault="00767049" w:rsidP="00767049">
            <w:pPr>
              <w:widowControl w:val="0"/>
              <w:ind w:firstLine="0"/>
              <w:jc w:val="both"/>
              <w:rPr>
                <w:rFonts w:eastAsia="Times New Roman"/>
                <w:lang w:eastAsia="lt-LT"/>
              </w:rPr>
            </w:pPr>
            <w:r w:rsidRPr="00767049">
              <w:t xml:space="preserve">2.3 Iki </w:t>
            </w:r>
            <w:r w:rsidRPr="00767049">
              <w:rPr>
                <w:shd w:val="clear" w:color="auto" w:fill="FFFFFF"/>
              </w:rPr>
              <w:t>2022</w:t>
            </w:r>
            <w:r w:rsidRPr="00767049">
              <w:t xml:space="preserve">-06-01 kiemo </w:t>
            </w:r>
            <w:r w:rsidRPr="00767049">
              <w:rPr>
                <w:shd w:val="clear" w:color="auto" w:fill="FFFFFF"/>
              </w:rPr>
              <w:t>teritorijoje</w:t>
            </w:r>
            <w:r w:rsidRPr="00767049">
              <w:rPr>
                <w:lang w:eastAsia="lt-LT"/>
              </w:rPr>
              <w:t xml:space="preserve"> įrengta</w:t>
            </w:r>
            <w:r w:rsidRPr="00767049">
              <w:t xml:space="preserve"> </w:t>
            </w:r>
            <w:r w:rsidRPr="00767049">
              <w:rPr>
                <w:lang w:eastAsia="lt-LT"/>
              </w:rPr>
              <w:t>atskira, ankstyvojo amžiaus vaikams, moderni, funkcionali edukacinė zona.</w:t>
            </w:r>
          </w:p>
          <w:p w:rsidR="00767049" w:rsidRPr="00767049" w:rsidRDefault="00767049" w:rsidP="00767049">
            <w:pPr>
              <w:widowControl w:val="0"/>
              <w:ind w:firstLine="0"/>
              <w:jc w:val="both"/>
            </w:pPr>
            <w:r w:rsidRPr="00767049">
              <w:rPr>
                <w:rFonts w:eastAsia="Times New Roman"/>
                <w:lang w:eastAsia="lt-LT"/>
              </w:rPr>
              <w:t xml:space="preserve">Užtikrinta vaikų sveikatos saugos reikalavimai pagal HN 131:2015 </w:t>
            </w:r>
            <w:r w:rsidRPr="00767049">
              <w:rPr>
                <w:spacing w:val="2"/>
                <w:shd w:val="clear" w:color="auto" w:fill="FFFFFF"/>
              </w:rPr>
              <w:t>„Vaikų žaidimų aikštelės ir patalpos. Bendrieji sveikatos saugos reikalavimai“.</w:t>
            </w:r>
          </w:p>
          <w:p w:rsidR="00767049" w:rsidRPr="00767049" w:rsidRDefault="00767049" w:rsidP="00767049">
            <w:pPr>
              <w:widowControl w:val="0"/>
              <w:ind w:firstLine="0"/>
              <w:jc w:val="both"/>
            </w:pPr>
            <w:r w:rsidRPr="00767049">
              <w:t xml:space="preserve">2.4 Iki 2022-09-01 aštuoniose grupėse </w:t>
            </w:r>
            <w:r w:rsidRPr="00767049">
              <w:lastRenderedPageBreak/>
              <w:t xml:space="preserve">pakeisti ir atnaujinti baldai į modernius, inovatyvius, funkcionalius. </w:t>
            </w:r>
          </w:p>
          <w:p w:rsidR="00767049" w:rsidRPr="00767049" w:rsidRDefault="00767049" w:rsidP="00767049">
            <w:pPr>
              <w:widowControl w:val="0"/>
              <w:ind w:firstLine="0"/>
              <w:jc w:val="both"/>
            </w:pPr>
            <w:r w:rsidRPr="00767049">
              <w:rPr>
                <w:bCs/>
              </w:rPr>
              <w:t>Įstaiga atitinka Lietuvos higienos normas HN 75:2010 vykdanti ikimokyklinio ir (ar) priešmokyklinio ugdymo programą. bendrus sveikatos saugos reikalavimus.</w:t>
            </w:r>
          </w:p>
          <w:p w:rsidR="00767049" w:rsidRPr="00767049" w:rsidRDefault="00767049" w:rsidP="00767049">
            <w:pPr>
              <w:widowControl w:val="0"/>
              <w:ind w:firstLine="0"/>
              <w:jc w:val="both"/>
            </w:pPr>
            <w:r w:rsidRPr="00767049">
              <w:t xml:space="preserve">2.5. Iki 2022-12-31 Šešiose grupėse įrengti daugialypės terpės projektoriai. </w:t>
            </w:r>
          </w:p>
          <w:p w:rsidR="00767049" w:rsidRPr="00767049" w:rsidRDefault="00767049" w:rsidP="00767049">
            <w:pPr>
              <w:widowControl w:val="0"/>
              <w:ind w:firstLine="0"/>
              <w:jc w:val="both"/>
              <w:rPr>
                <w:rFonts w:eastAsia="Times New Roman"/>
              </w:rPr>
            </w:pPr>
            <w:r w:rsidRPr="00767049">
              <w:rPr>
                <w:bCs/>
              </w:rPr>
              <w:t>Įstaiga atitinka Lietuvos higienos normas HN 75:2010 vykdanti ikimokyklinio ir (ar) priešmokyklinio ugdymo programą. bendrus sveikatos saugos reikalavimus.</w:t>
            </w:r>
          </w:p>
        </w:tc>
        <w:tc>
          <w:tcPr>
            <w:tcW w:w="3821" w:type="dxa"/>
          </w:tcPr>
          <w:p w:rsidR="00767049" w:rsidRPr="00767049" w:rsidRDefault="00767049" w:rsidP="00767049">
            <w:pPr>
              <w:ind w:firstLine="0"/>
              <w:jc w:val="both"/>
              <w:rPr>
                <w:spacing w:val="2"/>
                <w:shd w:val="clear" w:color="auto" w:fill="FFFFFF"/>
              </w:rPr>
            </w:pPr>
            <w:r w:rsidRPr="00767049">
              <w:lastRenderedPageBreak/>
              <w:t xml:space="preserve">2.2. </w:t>
            </w:r>
            <w:r w:rsidRPr="00767049">
              <w:rPr>
                <w:shd w:val="clear" w:color="auto" w:fill="FFFFFF"/>
              </w:rPr>
              <w:t>Vaikų saugumo užtikrinimas ikimokyklinio ugdymo įstaigoje</w:t>
            </w:r>
            <w:r w:rsidRPr="00767049">
              <w:rPr>
                <w:spacing w:val="2"/>
                <w:shd w:val="clear" w:color="auto" w:fill="FFFFFF"/>
              </w:rPr>
              <w:t xml:space="preserve"> atitinka</w:t>
            </w:r>
            <w:r w:rsidRPr="00767049">
              <w:rPr>
                <w:b/>
                <w:bCs/>
              </w:rPr>
              <w:t xml:space="preserve"> </w:t>
            </w:r>
            <w:r w:rsidRPr="00767049">
              <w:rPr>
                <w:spacing w:val="2"/>
                <w:shd w:val="clear" w:color="auto" w:fill="FFFFFF"/>
              </w:rPr>
              <w:t>Lietuvos higienos normą HN 131:2015 „Vaikų žaidimų aikštelės ir patalpos. Bendrieji sveikatos saugos reikalavimai“.</w:t>
            </w:r>
          </w:p>
          <w:p w:rsidR="00767049" w:rsidRPr="00767049" w:rsidRDefault="00767049" w:rsidP="00767049">
            <w:pPr>
              <w:ind w:firstLine="0"/>
              <w:jc w:val="both"/>
              <w:rPr>
                <w:spacing w:val="2"/>
                <w:shd w:val="clear" w:color="auto" w:fill="FFFFFF"/>
              </w:rPr>
            </w:pPr>
          </w:p>
          <w:p w:rsidR="00767049" w:rsidRPr="00767049" w:rsidRDefault="00767049" w:rsidP="00767049">
            <w:pPr>
              <w:ind w:firstLine="0"/>
              <w:jc w:val="both"/>
              <w:rPr>
                <w:spacing w:val="2"/>
                <w:shd w:val="clear" w:color="auto" w:fill="FFFFFF"/>
              </w:rPr>
            </w:pPr>
          </w:p>
          <w:p w:rsidR="00767049" w:rsidRPr="00767049" w:rsidRDefault="00767049" w:rsidP="00767049">
            <w:pPr>
              <w:ind w:firstLine="0"/>
              <w:jc w:val="both"/>
              <w:rPr>
                <w:spacing w:val="2"/>
                <w:shd w:val="clear" w:color="auto" w:fill="FFFFFF"/>
              </w:rPr>
            </w:pPr>
          </w:p>
          <w:p w:rsidR="00767049" w:rsidRPr="00767049" w:rsidRDefault="00767049" w:rsidP="00767049">
            <w:pPr>
              <w:widowControl w:val="0"/>
              <w:ind w:firstLine="0"/>
              <w:jc w:val="both"/>
              <w:rPr>
                <w:rFonts w:eastAsia="Times New Roman"/>
                <w:lang w:eastAsia="lt-LT"/>
              </w:rPr>
            </w:pPr>
            <w:r w:rsidRPr="00767049">
              <w:rPr>
                <w:spacing w:val="2"/>
                <w:shd w:val="clear" w:color="auto" w:fill="FFFFFF"/>
              </w:rPr>
              <w:t xml:space="preserve">2.3 </w:t>
            </w:r>
            <w:r w:rsidRPr="00767049">
              <w:t xml:space="preserve">Iki </w:t>
            </w:r>
            <w:r w:rsidRPr="00767049">
              <w:rPr>
                <w:shd w:val="clear" w:color="auto" w:fill="FFFFFF"/>
              </w:rPr>
              <w:t>2022</w:t>
            </w:r>
            <w:r w:rsidRPr="00767049">
              <w:t xml:space="preserve">-06-01 kiemo </w:t>
            </w:r>
            <w:r w:rsidRPr="00767049">
              <w:rPr>
                <w:shd w:val="clear" w:color="auto" w:fill="FFFFFF"/>
              </w:rPr>
              <w:t>teritorijoje</w:t>
            </w:r>
            <w:r w:rsidRPr="00767049">
              <w:rPr>
                <w:lang w:eastAsia="lt-LT"/>
              </w:rPr>
              <w:t xml:space="preserve"> įrengta</w:t>
            </w:r>
            <w:r w:rsidRPr="00767049">
              <w:t xml:space="preserve"> </w:t>
            </w:r>
            <w:r w:rsidRPr="00767049">
              <w:rPr>
                <w:lang w:eastAsia="lt-LT"/>
              </w:rPr>
              <w:t>atskira, ankstyvojo amžiaus vaikams, moderni, funkcionali edukacinė zona.</w:t>
            </w:r>
          </w:p>
          <w:p w:rsidR="00767049" w:rsidRPr="00767049" w:rsidRDefault="00767049" w:rsidP="00767049">
            <w:pPr>
              <w:widowControl w:val="0"/>
              <w:ind w:firstLine="0"/>
              <w:jc w:val="both"/>
            </w:pPr>
            <w:r w:rsidRPr="00767049">
              <w:rPr>
                <w:rFonts w:eastAsia="Times New Roman"/>
                <w:lang w:eastAsia="lt-LT"/>
              </w:rPr>
              <w:t xml:space="preserve">Užtikrinta vaikų sveikatos saugos reikalavimai pagal HN 131:2015 </w:t>
            </w:r>
            <w:r w:rsidRPr="00767049">
              <w:rPr>
                <w:spacing w:val="2"/>
                <w:shd w:val="clear" w:color="auto" w:fill="FFFFFF"/>
              </w:rPr>
              <w:t>„Vaikų žaidimų aikštelės ir patalpos. Bendrieji sveikatos saugos reikalavimai“.</w:t>
            </w:r>
          </w:p>
          <w:p w:rsidR="00767049" w:rsidRPr="00767049" w:rsidRDefault="00767049" w:rsidP="00767049">
            <w:pPr>
              <w:ind w:firstLine="0"/>
              <w:jc w:val="both"/>
              <w:rPr>
                <w:lang w:eastAsia="lt-LT"/>
              </w:rPr>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r w:rsidRPr="00767049">
              <w:t xml:space="preserve">2.4. Iki 2022-09-01 aštuoniose grupėse pakeisti ir atnaujinti baldai į </w:t>
            </w:r>
            <w:r w:rsidRPr="00767049">
              <w:lastRenderedPageBreak/>
              <w:t>modernius, inovatyvius, funkcionalius.</w:t>
            </w:r>
          </w:p>
          <w:p w:rsidR="00767049" w:rsidRPr="00767049" w:rsidRDefault="00767049" w:rsidP="00767049">
            <w:pPr>
              <w:widowControl w:val="0"/>
              <w:ind w:firstLine="0"/>
              <w:jc w:val="both"/>
              <w:rPr>
                <w:bCs/>
              </w:rPr>
            </w:pPr>
            <w:r w:rsidRPr="00767049">
              <w:rPr>
                <w:bCs/>
              </w:rPr>
              <w:t>Įstaiga atitinka Lietuvos higienos normas HN 75:2010 vykdanti ikimokyklinio ir (ar) priešmokyklinio ugdymo programą. bendrus sveikatos saugos reikalavimus.</w:t>
            </w: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p>
          <w:p w:rsidR="00767049" w:rsidRPr="00767049" w:rsidRDefault="00767049" w:rsidP="00767049">
            <w:pPr>
              <w:widowControl w:val="0"/>
              <w:ind w:firstLine="0"/>
              <w:jc w:val="both"/>
            </w:pPr>
            <w:r w:rsidRPr="00767049">
              <w:t>2.5. Iki 2022-12-31 Šešiose grupėse įrengti daugialypės terpės projektoriai.</w:t>
            </w:r>
          </w:p>
          <w:p w:rsidR="00767049" w:rsidRPr="00767049" w:rsidRDefault="00767049" w:rsidP="00767049">
            <w:pPr>
              <w:widowControl w:val="0"/>
              <w:ind w:firstLine="0"/>
              <w:jc w:val="both"/>
            </w:pPr>
            <w:r w:rsidRPr="00767049">
              <w:rPr>
                <w:bCs/>
              </w:rPr>
              <w:t>Įstaiga atitinka Lietuvos higienos normas HN 75:2010 vykdanti ikimokyklinio ir (ar) priešmokyklinio ugdymo programą. bendrus sveikatos saugos reikalavimus.</w:t>
            </w:r>
          </w:p>
        </w:tc>
      </w:tr>
      <w:tr w:rsidR="00767049" w:rsidRPr="00767049" w:rsidTr="00F32576">
        <w:trPr>
          <w:trHeight w:val="3675"/>
          <w:jc w:val="center"/>
        </w:trPr>
        <w:tc>
          <w:tcPr>
            <w:tcW w:w="1838" w:type="dxa"/>
          </w:tcPr>
          <w:p w:rsidR="00767049" w:rsidRPr="00767049" w:rsidRDefault="00767049" w:rsidP="00767049">
            <w:pPr>
              <w:ind w:firstLine="310"/>
              <w:jc w:val="both"/>
              <w:rPr>
                <w:lang w:eastAsia="lt-LT"/>
              </w:rPr>
            </w:pPr>
            <w:r w:rsidRPr="00767049">
              <w:rPr>
                <w:lang w:eastAsia="lt-LT"/>
              </w:rPr>
              <w:lastRenderedPageBreak/>
              <w:t xml:space="preserve">3. </w:t>
            </w:r>
            <w:r w:rsidRPr="00767049">
              <w:rPr>
                <w:rFonts w:eastAsia="Times New Roman"/>
                <w:lang w:eastAsia="lt-LT" w:bidi="lt-LT"/>
              </w:rPr>
              <w:t>Taikyti</w:t>
            </w:r>
            <w:r w:rsidRPr="00767049">
              <w:rPr>
                <w:lang w:eastAsia="lt-LT"/>
              </w:rPr>
              <w:t xml:space="preserve"> inovacijas ugdymo turinio įgyvendinimo modernizavimui ir sėkmingam įstaigos įvaizdžio formavimui.</w:t>
            </w:r>
          </w:p>
        </w:tc>
        <w:tc>
          <w:tcPr>
            <w:tcW w:w="1843" w:type="dxa"/>
          </w:tcPr>
          <w:p w:rsidR="00767049" w:rsidRPr="00767049" w:rsidRDefault="00767049" w:rsidP="00767049">
            <w:pPr>
              <w:ind w:firstLine="0"/>
              <w:jc w:val="both"/>
            </w:pPr>
            <w:r w:rsidRPr="00767049">
              <w:t xml:space="preserve">3.1. </w:t>
            </w:r>
            <w:r w:rsidRPr="00767049">
              <w:rPr>
                <w:shd w:val="clear" w:color="auto" w:fill="FFFFFF"/>
              </w:rPr>
              <w:t>Parengti ir įgyvendinti tarptautinį virtualų kūrybinių darbų projektą“ Vaikystė skrieja aitvarais“.</w:t>
            </w: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rFonts w:eastAsia="Times New Roman"/>
              </w:rPr>
            </w:pPr>
          </w:p>
          <w:p w:rsidR="00767049" w:rsidRPr="00767049" w:rsidRDefault="00767049" w:rsidP="00767049">
            <w:pPr>
              <w:widowControl w:val="0"/>
              <w:ind w:firstLine="0"/>
              <w:jc w:val="both"/>
              <w:rPr>
                <w:lang w:eastAsia="lt-LT" w:bidi="lt-LT"/>
              </w:rPr>
            </w:pPr>
            <w:r w:rsidRPr="00767049">
              <w:t xml:space="preserve">3.2. Dalyvauti ir vykdyti veiklas </w:t>
            </w:r>
            <w:r w:rsidRPr="00767049">
              <w:lastRenderedPageBreak/>
              <w:t>tarptautiniame eTwinning projekte „</w:t>
            </w:r>
            <w:r w:rsidRPr="00767049">
              <w:rPr>
                <w:lang w:eastAsia="lt-LT" w:bidi="lt-LT"/>
              </w:rPr>
              <w:t>Darni aplinka – įtraukiojo ugdymo įgalinimas“.</w:t>
            </w:r>
          </w:p>
          <w:p w:rsidR="00767049" w:rsidRPr="00767049" w:rsidRDefault="00767049" w:rsidP="00767049">
            <w:pPr>
              <w:widowControl w:val="0"/>
              <w:ind w:firstLine="0"/>
              <w:jc w:val="both"/>
              <w:rPr>
                <w:lang w:eastAsia="lt-LT" w:bidi="lt-LT"/>
              </w:rPr>
            </w:pPr>
          </w:p>
          <w:p w:rsidR="00767049" w:rsidRPr="00767049" w:rsidRDefault="00767049" w:rsidP="00767049">
            <w:pPr>
              <w:ind w:firstLine="0"/>
            </w:pPr>
          </w:p>
          <w:p w:rsidR="00767049" w:rsidRPr="00767049" w:rsidRDefault="00767049" w:rsidP="00767049">
            <w:pPr>
              <w:ind w:firstLine="0"/>
            </w:pPr>
          </w:p>
          <w:p w:rsidR="00767049" w:rsidRPr="00767049" w:rsidRDefault="00767049" w:rsidP="00767049">
            <w:pPr>
              <w:ind w:firstLine="0"/>
            </w:pPr>
          </w:p>
          <w:p w:rsidR="00767049" w:rsidRPr="00767049" w:rsidRDefault="00767049" w:rsidP="00767049">
            <w:pPr>
              <w:ind w:firstLine="0"/>
            </w:pPr>
          </w:p>
          <w:p w:rsidR="00767049" w:rsidRPr="00767049" w:rsidRDefault="00767049" w:rsidP="00767049">
            <w:pPr>
              <w:ind w:firstLine="0"/>
            </w:pPr>
          </w:p>
          <w:p w:rsidR="00767049" w:rsidRPr="00767049" w:rsidRDefault="00767049" w:rsidP="00767049">
            <w:pPr>
              <w:ind w:firstLine="0"/>
              <w:rPr>
                <w:rFonts w:eastAsia="Times New Roman"/>
              </w:rPr>
            </w:pPr>
            <w:r w:rsidRPr="00767049">
              <w:t>3.3. Įgyvendinti metodinę integralią priemonę „Mokymosi per garsą, šokį, muziką, judesį metodikos specialiųjų ugdymosi poreikių vaikams taikymas“.</w:t>
            </w:r>
          </w:p>
        </w:tc>
        <w:tc>
          <w:tcPr>
            <w:tcW w:w="2126" w:type="dxa"/>
          </w:tcPr>
          <w:p w:rsidR="00767049" w:rsidRPr="00767049" w:rsidRDefault="00767049" w:rsidP="00767049">
            <w:pPr>
              <w:widowControl w:val="0"/>
              <w:ind w:firstLine="0"/>
              <w:jc w:val="both"/>
            </w:pPr>
            <w:r w:rsidRPr="00767049">
              <w:lastRenderedPageBreak/>
              <w:t xml:space="preserve">3.1. </w:t>
            </w:r>
            <w:r w:rsidRPr="00767049">
              <w:rPr>
                <w:shd w:val="clear" w:color="auto" w:fill="FFFFFF"/>
              </w:rPr>
              <w:t>Iki 2022-07-01 įgyvendintas virtualus kūrybinių darbų, tarptautinis kūrybinių darbų projektas“ Vaikystė skrieja aitvarais“.</w:t>
            </w:r>
          </w:p>
          <w:p w:rsidR="00767049" w:rsidRPr="00767049" w:rsidRDefault="00767049" w:rsidP="00767049">
            <w:pPr>
              <w:widowControl w:val="0"/>
              <w:ind w:firstLine="0"/>
              <w:jc w:val="both"/>
              <w:rPr>
                <w:shd w:val="clear" w:color="auto" w:fill="FFFFFF"/>
              </w:rPr>
            </w:pPr>
            <w:r w:rsidRPr="00767049">
              <w:rPr>
                <w:shd w:val="clear" w:color="auto" w:fill="FFFFFF"/>
              </w:rPr>
              <w:t>3.1.1. 80% padidės vaikų pasiekimų pažanga, socialinės, komunikavimo, kūrybinių, pažinimo kompetencijos ugdyme.</w:t>
            </w:r>
          </w:p>
          <w:p w:rsidR="00767049" w:rsidRPr="00767049" w:rsidRDefault="00767049" w:rsidP="00767049">
            <w:pPr>
              <w:widowControl w:val="0"/>
              <w:ind w:firstLine="0"/>
              <w:jc w:val="both"/>
            </w:pPr>
            <w:r w:rsidRPr="00767049">
              <w:t xml:space="preserve">3.2.2. </w:t>
            </w:r>
            <w:r w:rsidRPr="00767049">
              <w:rPr>
                <w:rFonts w:eastAsia="Times New Roman"/>
                <w:lang w:eastAsia="lt-LT" w:bidi="lt-LT"/>
              </w:rPr>
              <w:t>80</w:t>
            </w:r>
            <w:r w:rsidRPr="00767049">
              <w:rPr>
                <w:shd w:val="clear" w:color="auto" w:fill="FFFFFF"/>
              </w:rPr>
              <w:t>% ugdytinių tėvų ir 70% socialinių partnerių įsitrauks į virtualų tarptautinį projektą“ Vaikystė skrieja aitvarais“.</w:t>
            </w:r>
          </w:p>
          <w:p w:rsidR="00767049" w:rsidRPr="00767049" w:rsidRDefault="00767049" w:rsidP="00767049">
            <w:pPr>
              <w:ind w:firstLine="0"/>
              <w:jc w:val="both"/>
            </w:pPr>
            <w:r w:rsidRPr="00767049">
              <w:t xml:space="preserve">3.2. Gerosios patirties sklaida </w:t>
            </w:r>
            <w:r w:rsidRPr="00767049">
              <w:lastRenderedPageBreak/>
              <w:t>tarptautiniame eTwinning projekte „</w:t>
            </w:r>
            <w:r w:rsidRPr="00767049">
              <w:rPr>
                <w:lang w:eastAsia="lt-LT" w:bidi="lt-LT"/>
              </w:rPr>
              <w:t>Darni aplinka – įtraukiojo ugdymo įgalinimas“.</w:t>
            </w:r>
          </w:p>
          <w:p w:rsidR="00767049" w:rsidRPr="00767049" w:rsidRDefault="00767049" w:rsidP="00767049">
            <w:pPr>
              <w:ind w:firstLine="0"/>
              <w:jc w:val="both"/>
            </w:pPr>
            <w:r w:rsidRPr="00767049">
              <w:rPr>
                <w:shd w:val="clear" w:color="auto" w:fill="FFFFFF"/>
              </w:rPr>
              <w:t>3.2.1. 70% padidės vaikų pasiekimų pažanga, socialinės, komunikavimo, kūrybinės, pažinimo kompetencijos ugdyme.</w:t>
            </w:r>
          </w:p>
          <w:p w:rsidR="00767049" w:rsidRPr="00767049" w:rsidRDefault="00767049" w:rsidP="00767049">
            <w:pPr>
              <w:ind w:firstLine="0"/>
              <w:jc w:val="both"/>
              <w:rPr>
                <w:rFonts w:eastAsia="Times New Roman"/>
              </w:rPr>
            </w:pPr>
            <w:r w:rsidRPr="00767049">
              <w:t>3.3. 8-iose grupėse įdiegta integrali metodinė priemonė „Mokymosi per garsą, šokį, muziką, judesį metodikos specialiųjų ugdymosi poreikių vaikams taikymas“ Grupėse per metus pravesta po dvi priemones. 80%</w:t>
            </w:r>
            <w:r w:rsidRPr="00767049">
              <w:rPr>
                <w:shd w:val="clear" w:color="auto" w:fill="FFFFFF"/>
              </w:rPr>
              <w:t xml:space="preserve"> ugdytinių su specialiaisiais ugdymosi poreikiais dalyvauja metodinėse integraliose veiklose. </w:t>
            </w:r>
            <w:r w:rsidRPr="00767049">
              <w:t xml:space="preserve">60% </w:t>
            </w:r>
            <w:r w:rsidRPr="00767049">
              <w:rPr>
                <w:shd w:val="clear" w:color="auto" w:fill="FFFFFF"/>
              </w:rPr>
              <w:t>padidės vaikų pasiekimų pažanga, socialinės, komunikavimo, kūrybinių, pažinimo kompetencijos ugdyme.</w:t>
            </w:r>
          </w:p>
        </w:tc>
        <w:tc>
          <w:tcPr>
            <w:tcW w:w="3821" w:type="dxa"/>
          </w:tcPr>
          <w:p w:rsidR="00767049" w:rsidRPr="00767049" w:rsidRDefault="00767049" w:rsidP="00767049">
            <w:pPr>
              <w:widowControl w:val="0"/>
              <w:ind w:firstLine="0"/>
              <w:jc w:val="both"/>
              <w:rPr>
                <w:shd w:val="clear" w:color="auto" w:fill="FFFFFF"/>
              </w:rPr>
            </w:pPr>
            <w:r w:rsidRPr="00767049">
              <w:lastRenderedPageBreak/>
              <w:t xml:space="preserve">3.1. </w:t>
            </w:r>
            <w:r w:rsidRPr="00767049">
              <w:rPr>
                <w:shd w:val="clear" w:color="auto" w:fill="FFFFFF"/>
              </w:rPr>
              <w:t>Iki 2022-07-01 įgyvendintas virtualus kūrybinių darbų, tarptautinis kūrybinių darbų projektas“ Vaikystė skrieja aitvarais“.</w:t>
            </w:r>
          </w:p>
          <w:p w:rsidR="00767049" w:rsidRPr="00767049" w:rsidRDefault="00767049" w:rsidP="00767049">
            <w:pPr>
              <w:widowControl w:val="0"/>
              <w:ind w:firstLine="0"/>
              <w:jc w:val="both"/>
              <w:rPr>
                <w:shd w:val="clear" w:color="auto" w:fill="FFFFFF"/>
              </w:rPr>
            </w:pPr>
          </w:p>
          <w:p w:rsidR="00767049" w:rsidRPr="00767049" w:rsidRDefault="00767049" w:rsidP="00767049">
            <w:pPr>
              <w:widowControl w:val="0"/>
              <w:ind w:firstLine="0"/>
              <w:jc w:val="both"/>
              <w:rPr>
                <w:shd w:val="clear" w:color="auto" w:fill="FFFFFF"/>
              </w:rPr>
            </w:pPr>
          </w:p>
          <w:p w:rsidR="00767049" w:rsidRPr="00767049" w:rsidRDefault="00767049" w:rsidP="00767049">
            <w:pPr>
              <w:widowControl w:val="0"/>
              <w:ind w:firstLine="0"/>
              <w:jc w:val="both"/>
            </w:pPr>
          </w:p>
          <w:p w:rsidR="00767049" w:rsidRPr="00767049" w:rsidRDefault="00767049" w:rsidP="00767049">
            <w:pPr>
              <w:widowControl w:val="0"/>
              <w:ind w:firstLine="0"/>
              <w:jc w:val="both"/>
              <w:rPr>
                <w:shd w:val="clear" w:color="auto" w:fill="FFFFFF"/>
              </w:rPr>
            </w:pPr>
            <w:r w:rsidRPr="00767049">
              <w:rPr>
                <w:shd w:val="clear" w:color="auto" w:fill="FFFFFF"/>
              </w:rPr>
              <w:t>3.1.1. 80% padidėjo vaikų pasiekimų pažanga, socialinės, komunikavimo, kūrybinių, pažinimo kompetencijos ugdyme.</w:t>
            </w:r>
          </w:p>
          <w:p w:rsidR="00767049" w:rsidRPr="00767049" w:rsidRDefault="00767049" w:rsidP="00767049">
            <w:pPr>
              <w:widowControl w:val="0"/>
              <w:ind w:firstLine="0"/>
              <w:jc w:val="both"/>
              <w:rPr>
                <w:shd w:val="clear" w:color="auto" w:fill="FFFFFF"/>
              </w:rPr>
            </w:pPr>
          </w:p>
          <w:p w:rsidR="00767049" w:rsidRPr="00767049" w:rsidRDefault="00767049" w:rsidP="00767049">
            <w:pPr>
              <w:widowControl w:val="0"/>
              <w:ind w:firstLine="0"/>
              <w:jc w:val="both"/>
              <w:rPr>
                <w:shd w:val="clear" w:color="auto" w:fill="FFFFFF"/>
              </w:rPr>
            </w:pPr>
          </w:p>
          <w:p w:rsidR="00767049" w:rsidRPr="00767049" w:rsidRDefault="00767049" w:rsidP="00767049">
            <w:pPr>
              <w:widowControl w:val="0"/>
              <w:ind w:firstLine="0"/>
              <w:jc w:val="both"/>
              <w:rPr>
                <w:shd w:val="clear" w:color="auto" w:fill="FFFFFF"/>
              </w:rPr>
            </w:pPr>
          </w:p>
          <w:p w:rsidR="00767049" w:rsidRPr="00767049" w:rsidRDefault="00767049" w:rsidP="00767049">
            <w:pPr>
              <w:widowControl w:val="0"/>
              <w:ind w:firstLine="0"/>
              <w:jc w:val="both"/>
              <w:rPr>
                <w:shd w:val="clear" w:color="auto" w:fill="FFFFFF"/>
              </w:rPr>
            </w:pPr>
          </w:p>
          <w:p w:rsidR="00767049" w:rsidRPr="00767049" w:rsidRDefault="00767049" w:rsidP="00767049">
            <w:pPr>
              <w:widowControl w:val="0"/>
              <w:ind w:firstLine="0"/>
              <w:jc w:val="both"/>
              <w:rPr>
                <w:shd w:val="clear" w:color="auto" w:fill="FFFFFF"/>
              </w:rPr>
            </w:pPr>
            <w:r w:rsidRPr="00767049">
              <w:t xml:space="preserve">3.2.2. </w:t>
            </w:r>
            <w:r w:rsidRPr="00767049">
              <w:rPr>
                <w:rFonts w:eastAsia="Times New Roman"/>
                <w:lang w:eastAsia="lt-LT" w:bidi="lt-LT"/>
              </w:rPr>
              <w:t>80</w:t>
            </w:r>
            <w:r w:rsidRPr="00767049">
              <w:rPr>
                <w:shd w:val="clear" w:color="auto" w:fill="FFFFFF"/>
              </w:rPr>
              <w:t>% ugdytinių tėvų ir 70% socialinių partnerių įsitraukė į virtualų tarptautinį projektą“ Vaikystė skrieja aitvarais“.</w:t>
            </w:r>
          </w:p>
          <w:p w:rsidR="00767049" w:rsidRPr="00767049" w:rsidRDefault="00767049" w:rsidP="00767049">
            <w:pPr>
              <w:ind w:firstLine="0"/>
              <w:jc w:val="both"/>
            </w:pPr>
          </w:p>
          <w:p w:rsidR="00767049" w:rsidRPr="00767049" w:rsidRDefault="00767049" w:rsidP="00767049">
            <w:pPr>
              <w:ind w:firstLine="0"/>
              <w:jc w:val="both"/>
            </w:pPr>
          </w:p>
          <w:p w:rsidR="00767049" w:rsidRPr="00767049" w:rsidRDefault="00767049" w:rsidP="00767049">
            <w:pPr>
              <w:ind w:firstLine="0"/>
              <w:jc w:val="both"/>
            </w:pPr>
          </w:p>
          <w:p w:rsidR="00767049" w:rsidRPr="00767049" w:rsidRDefault="00767049" w:rsidP="00767049">
            <w:pPr>
              <w:ind w:firstLine="0"/>
              <w:jc w:val="both"/>
              <w:rPr>
                <w:lang w:eastAsia="lt-LT" w:bidi="lt-LT"/>
              </w:rPr>
            </w:pPr>
            <w:r w:rsidRPr="00767049">
              <w:t xml:space="preserve">3.2. Skleista geroji patirtis tarptautiniame eTwinning projekte </w:t>
            </w:r>
            <w:r w:rsidRPr="00767049">
              <w:lastRenderedPageBreak/>
              <w:t>„</w:t>
            </w:r>
            <w:r w:rsidRPr="00767049">
              <w:rPr>
                <w:lang w:eastAsia="lt-LT" w:bidi="lt-LT"/>
              </w:rPr>
              <w:t>Darni aplinka – įtraukiojo ugdymo įgalinimas“.</w:t>
            </w:r>
          </w:p>
          <w:p w:rsidR="00767049" w:rsidRPr="00767049" w:rsidRDefault="00767049" w:rsidP="00767049">
            <w:pPr>
              <w:ind w:firstLine="0"/>
              <w:jc w:val="both"/>
            </w:pPr>
          </w:p>
          <w:p w:rsidR="00767049" w:rsidRPr="00767049" w:rsidRDefault="00767049" w:rsidP="00767049">
            <w:pPr>
              <w:ind w:firstLine="0"/>
              <w:jc w:val="both"/>
            </w:pPr>
          </w:p>
          <w:p w:rsidR="00767049" w:rsidRPr="00767049" w:rsidRDefault="00767049" w:rsidP="00767049">
            <w:pPr>
              <w:ind w:firstLine="0"/>
              <w:jc w:val="both"/>
            </w:pPr>
          </w:p>
          <w:p w:rsidR="00767049" w:rsidRPr="00767049" w:rsidRDefault="00767049" w:rsidP="00767049">
            <w:pPr>
              <w:ind w:firstLine="0"/>
              <w:jc w:val="both"/>
              <w:rPr>
                <w:shd w:val="clear" w:color="auto" w:fill="FFFFFF"/>
              </w:rPr>
            </w:pPr>
            <w:r w:rsidRPr="00767049">
              <w:rPr>
                <w:shd w:val="clear" w:color="auto" w:fill="FFFFFF"/>
              </w:rPr>
              <w:t>3.2.1. 70% padidėjo vaikų pasiekimų pažanga, socialinės, komunikavimo, kūrybinės, pažinimo kompetencijos ugdyme.</w:t>
            </w:r>
          </w:p>
          <w:p w:rsidR="00767049" w:rsidRPr="00767049" w:rsidRDefault="00767049" w:rsidP="00767049">
            <w:pPr>
              <w:ind w:firstLine="0"/>
              <w:jc w:val="both"/>
              <w:rPr>
                <w:shd w:val="clear" w:color="auto" w:fill="FFFFFF"/>
              </w:rPr>
            </w:pPr>
          </w:p>
          <w:p w:rsidR="00767049" w:rsidRPr="00767049" w:rsidRDefault="00767049" w:rsidP="00767049">
            <w:pPr>
              <w:ind w:firstLine="0"/>
              <w:jc w:val="both"/>
            </w:pPr>
          </w:p>
          <w:p w:rsidR="00767049" w:rsidRPr="00767049" w:rsidRDefault="00767049" w:rsidP="00767049">
            <w:pPr>
              <w:ind w:firstLine="0"/>
              <w:jc w:val="both"/>
            </w:pPr>
          </w:p>
          <w:p w:rsidR="00767049" w:rsidRPr="00767049" w:rsidRDefault="00767049" w:rsidP="00767049">
            <w:pPr>
              <w:ind w:firstLine="0"/>
              <w:jc w:val="both"/>
            </w:pPr>
          </w:p>
          <w:p w:rsidR="00767049" w:rsidRPr="00767049" w:rsidRDefault="00767049" w:rsidP="00767049">
            <w:pPr>
              <w:ind w:firstLine="0"/>
              <w:jc w:val="both"/>
            </w:pPr>
            <w:r w:rsidRPr="00767049">
              <w:t>3.3. 8-iose grupėse įdiegta integrali metodinė priemonė „Mokymosi per garsą, šokį, muziką, judesį metodikos specialiųjų ugdymosi poreikių vaikams taikymas“ Grupėse per metus pravesta po dvi priemones.</w:t>
            </w:r>
          </w:p>
          <w:p w:rsidR="00767049" w:rsidRPr="00767049" w:rsidRDefault="00767049" w:rsidP="00767049">
            <w:pPr>
              <w:widowControl w:val="0"/>
              <w:ind w:firstLine="0"/>
              <w:jc w:val="both"/>
            </w:pPr>
            <w:r w:rsidRPr="00767049">
              <w:t>80%</w:t>
            </w:r>
            <w:r w:rsidRPr="00767049">
              <w:rPr>
                <w:shd w:val="clear" w:color="auto" w:fill="FFFFFF"/>
              </w:rPr>
              <w:t xml:space="preserve"> ugdytinių su specialiaisiais ugdymosi poreikiais dalyvauja metodinėse integraliose veiklose. </w:t>
            </w:r>
            <w:r w:rsidRPr="00767049">
              <w:t xml:space="preserve">60% </w:t>
            </w:r>
            <w:r w:rsidRPr="00767049">
              <w:rPr>
                <w:shd w:val="clear" w:color="auto" w:fill="FFFFFF"/>
              </w:rPr>
              <w:t>padidės vaikų pasiekimų pažanga, socialinės, komunikavimo, kūrybinių, pažinimo kompetencijos ugdyme.</w:t>
            </w:r>
          </w:p>
        </w:tc>
      </w:tr>
    </w:tbl>
    <w:p w:rsidR="00767049" w:rsidRPr="00767049" w:rsidRDefault="00767049" w:rsidP="00767049">
      <w:pPr>
        <w:widowControl w:val="0"/>
        <w:numPr>
          <w:ilvl w:val="0"/>
          <w:numId w:val="38"/>
        </w:numPr>
        <w:spacing w:before="240" w:line="360" w:lineRule="auto"/>
        <w:contextualSpacing/>
        <w:jc w:val="both"/>
        <w:rPr>
          <w:rFonts w:eastAsia="Times New Roman"/>
          <w:b/>
          <w:bCs/>
        </w:rPr>
      </w:pPr>
      <w:r w:rsidRPr="00767049">
        <w:rPr>
          <w:rFonts w:eastAsia="Times New Roman"/>
          <w:b/>
          <w:bCs/>
        </w:rPr>
        <w:lastRenderedPageBreak/>
        <w:t>Užduočių, neįvykdytų ar įvykdytų iš dalies dėl numatytų rizikų nebuvo.</w:t>
      </w:r>
    </w:p>
    <w:p w:rsidR="00767049" w:rsidRPr="00767049" w:rsidRDefault="00767049" w:rsidP="00767049">
      <w:pPr>
        <w:widowControl w:val="0"/>
        <w:numPr>
          <w:ilvl w:val="0"/>
          <w:numId w:val="38"/>
        </w:numPr>
        <w:spacing w:before="240" w:line="360" w:lineRule="auto"/>
        <w:ind w:left="714" w:hanging="357"/>
        <w:jc w:val="both"/>
        <w:rPr>
          <w:rFonts w:eastAsia="Times New Roman"/>
          <w:b/>
          <w:bCs/>
        </w:rPr>
      </w:pPr>
      <w:r w:rsidRPr="00767049">
        <w:rPr>
          <w:rFonts w:eastAsia="Times New Roman"/>
          <w:b/>
          <w:bCs/>
        </w:rPr>
        <w:t>Užduotys ar veiklos, kurios nebuvo planuotos ir nustatytos, bet įvykdytos.</w:t>
      </w:r>
    </w:p>
    <w:tbl>
      <w:tblPr>
        <w:tblStyle w:val="Lentelstinklelis"/>
        <w:tblW w:w="0" w:type="auto"/>
        <w:tblInd w:w="-5" w:type="dxa"/>
        <w:tblLook w:val="04A0" w:firstRow="1" w:lastRow="0" w:firstColumn="1" w:lastColumn="0" w:noHBand="0" w:noVBand="1"/>
      </w:tblPr>
      <w:tblGrid>
        <w:gridCol w:w="4253"/>
        <w:gridCol w:w="5380"/>
      </w:tblGrid>
      <w:tr w:rsidR="00767049" w:rsidRPr="00767049" w:rsidTr="00F32576">
        <w:tc>
          <w:tcPr>
            <w:tcW w:w="4253" w:type="dxa"/>
            <w:vAlign w:val="center"/>
          </w:tcPr>
          <w:p w:rsidR="00767049" w:rsidRPr="00767049" w:rsidRDefault="00767049" w:rsidP="00767049">
            <w:pPr>
              <w:widowControl w:val="0"/>
              <w:spacing w:line="266" w:lineRule="exact"/>
              <w:ind w:firstLine="0"/>
              <w:contextualSpacing/>
              <w:jc w:val="center"/>
              <w:rPr>
                <w:rFonts w:eastAsia="Times New Roman"/>
                <w:bCs/>
                <w:lang w:eastAsia="lt-LT" w:bidi="lt-LT"/>
              </w:rPr>
            </w:pPr>
            <w:r w:rsidRPr="00767049">
              <w:rPr>
                <w:rFonts w:eastAsia="Times New Roman"/>
                <w:bCs/>
                <w:lang w:eastAsia="lt-LT" w:bidi="lt-LT"/>
              </w:rPr>
              <w:t>Užduotys/veiklos</w:t>
            </w:r>
          </w:p>
        </w:tc>
        <w:tc>
          <w:tcPr>
            <w:tcW w:w="5380" w:type="dxa"/>
            <w:vAlign w:val="center"/>
          </w:tcPr>
          <w:p w:rsidR="00767049" w:rsidRPr="00767049" w:rsidRDefault="00767049" w:rsidP="00767049">
            <w:pPr>
              <w:widowControl w:val="0"/>
              <w:spacing w:line="266" w:lineRule="exact"/>
              <w:ind w:firstLine="0"/>
              <w:contextualSpacing/>
              <w:jc w:val="center"/>
              <w:rPr>
                <w:rFonts w:eastAsia="Times New Roman"/>
                <w:bCs/>
                <w:lang w:eastAsia="lt-LT" w:bidi="lt-LT"/>
              </w:rPr>
            </w:pPr>
            <w:r w:rsidRPr="00767049">
              <w:rPr>
                <w:rFonts w:eastAsia="Times New Roman"/>
                <w:bCs/>
                <w:lang w:eastAsia="lt-LT" w:bidi="lt-LT"/>
              </w:rPr>
              <w:t>Poveikis švietimo įstaigos veiklai</w:t>
            </w:r>
          </w:p>
        </w:tc>
      </w:tr>
      <w:tr w:rsidR="00767049" w:rsidRPr="00767049" w:rsidTr="00F32576">
        <w:tc>
          <w:tcPr>
            <w:tcW w:w="4253" w:type="dxa"/>
          </w:tcPr>
          <w:p w:rsidR="00767049" w:rsidRPr="00767049" w:rsidRDefault="00767049" w:rsidP="00767049">
            <w:pPr>
              <w:ind w:firstLine="0"/>
              <w:jc w:val="both"/>
              <w:rPr>
                <w:rFonts w:eastAsia="Times New Roman"/>
                <w:bCs/>
                <w:lang w:eastAsia="lt-LT" w:bidi="lt-LT"/>
              </w:rPr>
            </w:pPr>
            <w:r w:rsidRPr="00767049">
              <w:rPr>
                <w:rFonts w:eastAsia="Calibri"/>
                <w:lang w:eastAsia="lt-LT"/>
              </w:rPr>
              <w:t xml:space="preserve">1. Parengta ir parašyta LTOK </w:t>
            </w:r>
            <w:r w:rsidRPr="00767049">
              <w:rPr>
                <w:rFonts w:eastAsia="Times New Roman"/>
                <w:lang w:eastAsia="lt-LT"/>
              </w:rPr>
              <w:t xml:space="preserve">projekto „Olimpinė karta“ nauja programa </w:t>
            </w:r>
            <w:r w:rsidRPr="00767049">
              <w:rPr>
                <w:rFonts w:eastAsia="Calibri"/>
                <w:lang w:eastAsia="lt-LT"/>
              </w:rPr>
              <w:t xml:space="preserve">„Vaikučių kelionė </w:t>
            </w:r>
            <w:r w:rsidRPr="00767049">
              <w:rPr>
                <w:rFonts w:eastAsia="Times New Roman"/>
                <w:lang w:eastAsia="lt-LT"/>
              </w:rPr>
              <w:t>olimpiniu</w:t>
            </w:r>
            <w:r w:rsidRPr="00767049">
              <w:rPr>
                <w:rFonts w:eastAsia="Calibri"/>
                <w:lang w:eastAsia="lt-LT"/>
              </w:rPr>
              <w:t xml:space="preserve"> takeliu“, kuri gavo iš LTOK finansavimą – 400 eurų projekto priemonėms. Į šio respublikinio projekto veiklą „Olimpinė karta“ įsijungė 90% įstaigos ugdytinių, 85% ugdytinių tėvelių ir 70% socialinių partnerių.</w:t>
            </w:r>
          </w:p>
        </w:tc>
        <w:tc>
          <w:tcPr>
            <w:tcW w:w="5380" w:type="dxa"/>
          </w:tcPr>
          <w:p w:rsidR="00767049" w:rsidRPr="00767049" w:rsidRDefault="00767049" w:rsidP="00767049">
            <w:pPr>
              <w:ind w:firstLine="0"/>
              <w:jc w:val="both"/>
              <w:rPr>
                <w:rFonts w:eastAsia="Times New Roman"/>
                <w:bCs/>
                <w:lang w:eastAsia="lt-LT" w:bidi="lt-LT"/>
              </w:rPr>
            </w:pPr>
            <w:r w:rsidRPr="00767049">
              <w:rPr>
                <w:rFonts w:eastAsia="Times New Roman"/>
                <w:bCs/>
                <w:lang w:eastAsia="lt-LT" w:bidi="lt-LT"/>
              </w:rPr>
              <w:t xml:space="preserve">1.1. </w:t>
            </w:r>
            <w:r w:rsidRPr="00767049">
              <w:rPr>
                <w:rFonts w:eastAsia="Calibri"/>
                <w:lang w:eastAsia="lt-LT"/>
              </w:rPr>
              <w:t>Į respublikinio LTOK projekto veiklą „Olimpinė karta“ įsijungė 90% įstaigos ugdytinių, 85% ugdytinių tėvelių ir 70% socialinių partnerių. Už gautą finansavimą (400 eurų) įsigyta ugdymo priemonių vaikų kūno kultūros kompetencijoms ugdyti.</w:t>
            </w:r>
          </w:p>
        </w:tc>
      </w:tr>
      <w:tr w:rsidR="00767049" w:rsidRPr="00767049" w:rsidTr="00F32576">
        <w:tc>
          <w:tcPr>
            <w:tcW w:w="4253" w:type="dxa"/>
          </w:tcPr>
          <w:p w:rsidR="00767049" w:rsidRPr="00767049" w:rsidRDefault="00767049" w:rsidP="00767049">
            <w:pPr>
              <w:widowControl w:val="0"/>
              <w:ind w:firstLine="0"/>
              <w:jc w:val="both"/>
              <w:rPr>
                <w:rFonts w:eastAsia="Calibri"/>
                <w:lang w:eastAsia="lt-LT"/>
              </w:rPr>
            </w:pPr>
            <w:r w:rsidRPr="00767049">
              <w:lastRenderedPageBreak/>
              <w:t>2. Dvi įstaigos pedagogės gilino žinias ES struktūrinių fondų lėšomis finansuojamame projekte „Skaitmeninio ugdymo turinio kūrimas ir diegimas“ (Nr. 09.2.1.-ESFA-V-726-03-0001).</w:t>
            </w:r>
          </w:p>
        </w:tc>
        <w:tc>
          <w:tcPr>
            <w:tcW w:w="5380" w:type="dxa"/>
          </w:tcPr>
          <w:p w:rsidR="00767049" w:rsidRPr="00767049" w:rsidRDefault="00767049" w:rsidP="00767049">
            <w:pPr>
              <w:ind w:firstLine="0"/>
              <w:jc w:val="both"/>
              <w:rPr>
                <w:rFonts w:eastAsia="Times New Roman"/>
                <w:bCs/>
                <w:lang w:eastAsia="lt-LT" w:bidi="lt-LT"/>
              </w:rPr>
            </w:pPr>
            <w:r w:rsidRPr="00767049">
              <w:rPr>
                <w:rFonts w:eastAsia="Times New Roman"/>
                <w:bCs/>
                <w:lang w:eastAsia="lt-LT" w:bidi="lt-LT"/>
              </w:rPr>
              <w:t xml:space="preserve">2.1. Pedagogės įgijusios žinių ES </w:t>
            </w:r>
            <w:r w:rsidRPr="00767049">
              <w:t xml:space="preserve">struktūrinių fondų lėšomis finansuojamame projekte „Skaitmeninio ugdymo turinio kūrimas ir diegimas“ (Nr. 09.2.1.-ESFA-V-726-03-0001) dalinsis žiniomis ir </w:t>
            </w:r>
            <w:r w:rsidRPr="00767049">
              <w:rPr>
                <w:rFonts w:eastAsia="Times New Roman"/>
                <w:bCs/>
                <w:lang w:eastAsia="lt-LT" w:bidi="lt-LT"/>
              </w:rPr>
              <w:t xml:space="preserve">skleis gerąją patirtį įstaigoje. </w:t>
            </w:r>
          </w:p>
        </w:tc>
      </w:tr>
      <w:tr w:rsidR="00767049" w:rsidRPr="00767049" w:rsidTr="00F32576">
        <w:tc>
          <w:tcPr>
            <w:tcW w:w="4253" w:type="dxa"/>
          </w:tcPr>
          <w:p w:rsidR="00767049" w:rsidRPr="00767049" w:rsidRDefault="00767049" w:rsidP="00767049">
            <w:pPr>
              <w:widowControl w:val="0"/>
              <w:ind w:firstLine="0"/>
              <w:jc w:val="both"/>
              <w:rPr>
                <w:rFonts w:eastAsia="Courier New"/>
                <w:lang w:eastAsia="lt-LT" w:bidi="lt-LT"/>
              </w:rPr>
            </w:pPr>
            <w:r w:rsidRPr="00767049">
              <w:rPr>
                <w:rFonts w:eastAsia="Courier New"/>
                <w:lang w:eastAsia="lt-LT" w:bidi="lt-LT"/>
              </w:rPr>
              <w:t>3. 2022-11-23 įstaigoje suburta 5-6 metų mokinių taryba.</w:t>
            </w:r>
          </w:p>
        </w:tc>
        <w:tc>
          <w:tcPr>
            <w:tcW w:w="5380" w:type="dxa"/>
          </w:tcPr>
          <w:p w:rsidR="00767049" w:rsidRPr="00767049" w:rsidRDefault="00767049" w:rsidP="00767049">
            <w:pPr>
              <w:ind w:firstLine="0"/>
              <w:jc w:val="both"/>
              <w:rPr>
                <w:rFonts w:eastAsia="Times New Roman"/>
                <w:bCs/>
                <w:lang w:eastAsia="lt-LT" w:bidi="lt-LT"/>
              </w:rPr>
            </w:pPr>
            <w:r w:rsidRPr="00767049">
              <w:rPr>
                <w:rFonts w:eastAsia="Times New Roman"/>
                <w:bCs/>
                <w:lang w:eastAsia="lt-LT" w:bidi="lt-LT"/>
              </w:rPr>
              <w:t>3.1. Tobulinama ugdymo kokybė, inovatyvus požiūris į ugdymą.</w:t>
            </w:r>
          </w:p>
        </w:tc>
      </w:tr>
      <w:tr w:rsidR="00767049" w:rsidRPr="00767049" w:rsidTr="00F32576">
        <w:tc>
          <w:tcPr>
            <w:tcW w:w="4253" w:type="dxa"/>
          </w:tcPr>
          <w:p w:rsidR="00767049" w:rsidRPr="00767049" w:rsidRDefault="00767049" w:rsidP="00767049">
            <w:pPr>
              <w:widowControl w:val="0"/>
              <w:ind w:firstLine="0"/>
              <w:jc w:val="both"/>
            </w:pPr>
            <w:r w:rsidRPr="00767049">
              <w:t>4. Pakeisti elektros įvadai įstaigos virtuvėje.</w:t>
            </w:r>
          </w:p>
        </w:tc>
        <w:tc>
          <w:tcPr>
            <w:tcW w:w="5380" w:type="dxa"/>
          </w:tcPr>
          <w:p w:rsidR="00767049" w:rsidRPr="00767049" w:rsidRDefault="00767049" w:rsidP="00767049">
            <w:pPr>
              <w:ind w:firstLine="0"/>
              <w:jc w:val="both"/>
              <w:rPr>
                <w:rFonts w:eastAsia="Times New Roman"/>
                <w:bCs/>
                <w:lang w:eastAsia="lt-LT" w:bidi="lt-LT"/>
              </w:rPr>
            </w:pPr>
            <w:r w:rsidRPr="00767049">
              <w:rPr>
                <w:rFonts w:eastAsia="Times New Roman"/>
                <w:bCs/>
                <w:lang w:eastAsia="lt-LT" w:bidi="lt-LT"/>
              </w:rPr>
              <w:t>4.1. Saugi ir estetiška įstaigos virtuvė.</w:t>
            </w:r>
          </w:p>
          <w:p w:rsidR="00767049" w:rsidRPr="00767049" w:rsidRDefault="00767049" w:rsidP="00767049">
            <w:pPr>
              <w:ind w:firstLine="0"/>
              <w:jc w:val="both"/>
              <w:rPr>
                <w:rFonts w:eastAsia="Times New Roman"/>
                <w:bCs/>
                <w:lang w:eastAsia="lt-LT" w:bidi="lt-LT"/>
              </w:rPr>
            </w:pPr>
            <w:r w:rsidRPr="00767049">
              <w:rPr>
                <w:bCs/>
              </w:rPr>
              <w:t>Įstaiga atitinka „Lietuvos higienos normos</w:t>
            </w:r>
            <w:r w:rsidRPr="00767049">
              <w:rPr>
                <w:bCs/>
              </w:rPr>
              <w:br/>
              <w:t>HN 75:2010 vykdanti ikimokyklinio ir (ar) priešmokyklinio ugdymo programą. bendrus sveikatos saugos reikalavimus.</w:t>
            </w:r>
          </w:p>
        </w:tc>
      </w:tr>
      <w:tr w:rsidR="00767049" w:rsidRPr="00767049" w:rsidTr="00F32576">
        <w:tc>
          <w:tcPr>
            <w:tcW w:w="4253" w:type="dxa"/>
          </w:tcPr>
          <w:p w:rsidR="00767049" w:rsidRPr="00767049" w:rsidRDefault="00767049" w:rsidP="00767049">
            <w:pPr>
              <w:widowControl w:val="0"/>
              <w:ind w:firstLine="0"/>
              <w:jc w:val="both"/>
            </w:pPr>
            <w:r w:rsidRPr="00767049">
              <w:t>5. Įrengta (2 vnt.) liejama apsauginė danga po edukaciniais krepšinio įrenginiais.</w:t>
            </w:r>
          </w:p>
        </w:tc>
        <w:tc>
          <w:tcPr>
            <w:tcW w:w="5380" w:type="dxa"/>
          </w:tcPr>
          <w:p w:rsidR="00767049" w:rsidRPr="00767049" w:rsidRDefault="00767049" w:rsidP="00767049">
            <w:pPr>
              <w:ind w:firstLine="0"/>
              <w:jc w:val="both"/>
              <w:rPr>
                <w:bCs/>
              </w:rPr>
            </w:pPr>
            <w:r w:rsidRPr="00767049">
              <w:rPr>
                <w:rFonts w:eastAsia="Times New Roman"/>
                <w:bCs/>
                <w:lang w:eastAsia="lt-LT" w:bidi="lt-LT"/>
              </w:rPr>
              <w:t>5.1. Saugūs, estetiški krepšinio įrenginiai.</w:t>
            </w:r>
          </w:p>
          <w:p w:rsidR="00767049" w:rsidRPr="00767049" w:rsidRDefault="00767049" w:rsidP="00767049">
            <w:pPr>
              <w:ind w:firstLine="0"/>
              <w:jc w:val="both"/>
              <w:rPr>
                <w:rFonts w:eastAsia="Times New Roman"/>
                <w:bCs/>
                <w:lang w:eastAsia="lt-LT" w:bidi="lt-LT"/>
              </w:rPr>
            </w:pPr>
            <w:r w:rsidRPr="00767049">
              <w:rPr>
                <w:bCs/>
              </w:rPr>
              <w:t>Įstaiga atitinka „Lietuvos higienos normos</w:t>
            </w:r>
            <w:r w:rsidRPr="00767049">
              <w:rPr>
                <w:bCs/>
              </w:rPr>
              <w:br/>
              <w:t>HN 75:2010 vykdanti ikimokyklinio ir (ar) priešmokyklinio ugdymo programą. bendrus sveikatos saugos reikalavimus.</w:t>
            </w:r>
          </w:p>
        </w:tc>
      </w:tr>
      <w:tr w:rsidR="00767049" w:rsidRPr="00767049" w:rsidTr="00F32576">
        <w:tc>
          <w:tcPr>
            <w:tcW w:w="4253" w:type="dxa"/>
          </w:tcPr>
          <w:p w:rsidR="00767049" w:rsidRPr="00767049" w:rsidRDefault="00767049" w:rsidP="00767049">
            <w:pPr>
              <w:widowControl w:val="0"/>
              <w:ind w:firstLine="0"/>
              <w:jc w:val="both"/>
            </w:pPr>
            <w:r w:rsidRPr="00767049">
              <w:t>6. Įrengta (17 vnt.) apsauginių dangų po lauko edukaciniais žaidimais.</w:t>
            </w:r>
          </w:p>
        </w:tc>
        <w:tc>
          <w:tcPr>
            <w:tcW w:w="5380" w:type="dxa"/>
          </w:tcPr>
          <w:p w:rsidR="00767049" w:rsidRPr="00767049" w:rsidRDefault="00767049" w:rsidP="00767049">
            <w:pPr>
              <w:ind w:firstLine="0"/>
              <w:jc w:val="both"/>
              <w:rPr>
                <w:rFonts w:eastAsia="Times New Roman"/>
                <w:bCs/>
                <w:lang w:eastAsia="lt-LT" w:bidi="lt-LT"/>
              </w:rPr>
            </w:pPr>
            <w:r w:rsidRPr="00767049">
              <w:rPr>
                <w:rFonts w:eastAsia="Times New Roman"/>
                <w:bCs/>
                <w:lang w:eastAsia="lt-LT" w:bidi="lt-LT"/>
              </w:rPr>
              <w:t>6.1. Saugūs, estetiški lauko edukaciniai žaidimai.</w:t>
            </w:r>
          </w:p>
        </w:tc>
      </w:tr>
      <w:tr w:rsidR="00767049" w:rsidRPr="00767049" w:rsidTr="00F32576">
        <w:tc>
          <w:tcPr>
            <w:tcW w:w="4253" w:type="dxa"/>
          </w:tcPr>
          <w:p w:rsidR="00767049" w:rsidRPr="00767049" w:rsidRDefault="00767049" w:rsidP="00767049">
            <w:pPr>
              <w:widowControl w:val="0"/>
              <w:ind w:firstLine="0"/>
              <w:jc w:val="both"/>
            </w:pPr>
            <w:r w:rsidRPr="00767049">
              <w:t>7. Suremontuotas logopedės kabinetas.</w:t>
            </w:r>
          </w:p>
        </w:tc>
        <w:tc>
          <w:tcPr>
            <w:tcW w:w="5380" w:type="dxa"/>
          </w:tcPr>
          <w:p w:rsidR="00767049" w:rsidRPr="00767049" w:rsidRDefault="00767049" w:rsidP="00767049">
            <w:pPr>
              <w:ind w:firstLine="0"/>
              <w:jc w:val="both"/>
              <w:rPr>
                <w:rFonts w:eastAsia="Times New Roman"/>
                <w:bCs/>
                <w:lang w:eastAsia="lt-LT" w:bidi="lt-LT"/>
              </w:rPr>
            </w:pPr>
            <w:r w:rsidRPr="00767049">
              <w:rPr>
                <w:rFonts w:eastAsia="Times New Roman"/>
                <w:bCs/>
                <w:lang w:eastAsia="lt-LT" w:bidi="lt-LT"/>
              </w:rPr>
              <w:t>7.1. Užsiėmimai vyksta moderniose, inovatyviose edukacinėse erdvėse.</w:t>
            </w:r>
          </w:p>
        </w:tc>
      </w:tr>
      <w:tr w:rsidR="00767049" w:rsidRPr="00767049" w:rsidTr="00F32576">
        <w:tc>
          <w:tcPr>
            <w:tcW w:w="4253" w:type="dxa"/>
          </w:tcPr>
          <w:p w:rsidR="00767049" w:rsidRPr="00767049" w:rsidRDefault="00767049" w:rsidP="00767049">
            <w:pPr>
              <w:widowControl w:val="0"/>
              <w:ind w:firstLine="0"/>
              <w:jc w:val="both"/>
            </w:pPr>
            <w:r w:rsidRPr="00767049">
              <w:t>8. Pasirašyta bendradarbiavimo sutartis su VDU švietimo akademija.</w:t>
            </w:r>
          </w:p>
        </w:tc>
        <w:tc>
          <w:tcPr>
            <w:tcW w:w="5380" w:type="dxa"/>
          </w:tcPr>
          <w:p w:rsidR="00767049" w:rsidRPr="00767049" w:rsidRDefault="00767049" w:rsidP="00767049">
            <w:pPr>
              <w:ind w:firstLine="0"/>
              <w:jc w:val="both"/>
              <w:rPr>
                <w:rFonts w:eastAsia="Times New Roman"/>
                <w:bCs/>
                <w:lang w:eastAsia="lt-LT" w:bidi="lt-LT"/>
              </w:rPr>
            </w:pPr>
            <w:r w:rsidRPr="00767049">
              <w:rPr>
                <w:rFonts w:eastAsia="Times New Roman"/>
                <w:bCs/>
                <w:lang w:eastAsia="lt-LT" w:bidi="lt-LT"/>
              </w:rPr>
              <w:t>8.1. VDU švietimo akademijos studentai atliks praktiką įstaigoje, įstaigos pedagogės turės galimybę skleisti gerąją patirtį.</w:t>
            </w:r>
          </w:p>
        </w:tc>
      </w:tr>
    </w:tbl>
    <w:p w:rsidR="00767049" w:rsidRPr="00767049" w:rsidRDefault="00767049" w:rsidP="00767049">
      <w:pPr>
        <w:widowControl w:val="0"/>
        <w:numPr>
          <w:ilvl w:val="0"/>
          <w:numId w:val="38"/>
        </w:numPr>
        <w:spacing w:before="240" w:line="360" w:lineRule="auto"/>
        <w:ind w:left="714" w:hanging="357"/>
        <w:jc w:val="both"/>
        <w:rPr>
          <w:rFonts w:eastAsia="Times New Roman"/>
          <w:b/>
          <w:bCs/>
        </w:rPr>
      </w:pPr>
      <w:r w:rsidRPr="00767049">
        <w:rPr>
          <w:rFonts w:eastAsia="Times New Roman"/>
          <w:b/>
          <w:bCs/>
        </w:rPr>
        <w:t>Pakoreguotų praėjusių metų veiklos užduočių nebuvo.</w:t>
      </w: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III SKYRIUS</w:t>
      </w: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GEBĖJIMŲ ATLIKTI PAREIGYBĖS APRAŠYME NUSTATYTAS FUNKCIJAS</w:t>
      </w: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VERTINIMAS</w:t>
      </w:r>
    </w:p>
    <w:p w:rsidR="00767049" w:rsidRPr="00767049" w:rsidRDefault="00767049" w:rsidP="00767049">
      <w:pPr>
        <w:widowControl w:val="0"/>
        <w:numPr>
          <w:ilvl w:val="0"/>
          <w:numId w:val="38"/>
        </w:numPr>
        <w:spacing w:before="240" w:line="360" w:lineRule="auto"/>
        <w:ind w:left="714" w:hanging="357"/>
        <w:jc w:val="both"/>
        <w:rPr>
          <w:rFonts w:eastAsia="Times New Roman"/>
          <w:b/>
          <w:bCs/>
        </w:rPr>
      </w:pPr>
      <w:r w:rsidRPr="00767049">
        <w:rPr>
          <w:rFonts w:eastAsia="Times New Roman"/>
          <w:b/>
          <w:bCs/>
        </w:rPr>
        <w:t>Gebėjimų atlikti pareigybės aprašyme nustatytas funkcijas vertinimas.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43"/>
        <w:gridCol w:w="504"/>
        <w:gridCol w:w="600"/>
        <w:gridCol w:w="624"/>
        <w:gridCol w:w="780"/>
      </w:tblGrid>
      <w:tr w:rsidR="00767049" w:rsidRPr="00767049" w:rsidTr="00F32576">
        <w:trPr>
          <w:trHeight w:hRule="exact" w:val="1345"/>
          <w:jc w:val="center"/>
        </w:trPr>
        <w:tc>
          <w:tcPr>
            <w:tcW w:w="6843" w:type="dxa"/>
            <w:tcBorders>
              <w:top w:val="single" w:sz="4" w:space="0" w:color="auto"/>
              <w:left w:val="single" w:sz="4" w:space="0" w:color="auto"/>
            </w:tcBorders>
            <w:shd w:val="clear" w:color="auto" w:fill="FFFFFF"/>
            <w:vAlign w:val="center"/>
          </w:tcPr>
          <w:p w:rsidR="00767049" w:rsidRPr="00767049" w:rsidRDefault="00767049" w:rsidP="00767049">
            <w:pPr>
              <w:widowControl w:val="0"/>
              <w:spacing w:line="232" w:lineRule="exact"/>
              <w:ind w:firstLine="0"/>
              <w:jc w:val="center"/>
              <w:rPr>
                <w:rFonts w:eastAsia="Times New Roman"/>
                <w:lang w:eastAsia="lt-LT" w:bidi="lt-LT"/>
              </w:rPr>
            </w:pPr>
            <w:r w:rsidRPr="00767049">
              <w:rPr>
                <w:rFonts w:eastAsia="Times New Roman"/>
                <w:lang w:eastAsia="lt-LT" w:bidi="lt-LT"/>
              </w:rPr>
              <w:t>Vertinimo kriterijai</w:t>
            </w:r>
          </w:p>
        </w:tc>
        <w:tc>
          <w:tcPr>
            <w:tcW w:w="2508" w:type="dxa"/>
            <w:gridSpan w:val="4"/>
            <w:tcBorders>
              <w:top w:val="single" w:sz="4" w:space="0" w:color="auto"/>
              <w:left w:val="single" w:sz="4" w:space="0" w:color="auto"/>
              <w:right w:val="single" w:sz="4" w:space="0" w:color="auto"/>
            </w:tcBorders>
            <w:shd w:val="clear" w:color="auto" w:fill="FFFFFF"/>
            <w:vAlign w:val="center"/>
          </w:tcPr>
          <w:p w:rsidR="00767049" w:rsidRPr="00767049" w:rsidRDefault="00767049" w:rsidP="00767049">
            <w:pPr>
              <w:widowControl w:val="0"/>
              <w:spacing w:line="220" w:lineRule="exact"/>
              <w:ind w:firstLine="0"/>
              <w:jc w:val="center"/>
              <w:rPr>
                <w:rFonts w:eastAsia="Times New Roman"/>
                <w:lang w:eastAsia="lt-LT" w:bidi="lt-LT"/>
              </w:rPr>
            </w:pPr>
            <w:r w:rsidRPr="00767049">
              <w:rPr>
                <w:rFonts w:eastAsia="Times New Roman"/>
                <w:lang w:eastAsia="lt-LT" w:bidi="lt-LT"/>
              </w:rPr>
              <w:t>Pažymimas atitinkamas langelis:</w:t>
            </w:r>
          </w:p>
          <w:p w:rsidR="00767049" w:rsidRPr="00767049" w:rsidRDefault="00767049" w:rsidP="00767049">
            <w:pPr>
              <w:widowControl w:val="0"/>
              <w:spacing w:line="220" w:lineRule="exact"/>
              <w:ind w:firstLine="372"/>
              <w:rPr>
                <w:rFonts w:eastAsia="Times New Roman"/>
                <w:lang w:eastAsia="lt-LT" w:bidi="lt-LT"/>
              </w:rPr>
            </w:pPr>
            <w:r w:rsidRPr="00767049">
              <w:rPr>
                <w:rFonts w:eastAsia="Times New Roman"/>
                <w:lang w:eastAsia="lt-LT" w:bidi="lt-LT"/>
              </w:rPr>
              <w:t>1 – nepatenkinamai;</w:t>
            </w:r>
          </w:p>
          <w:p w:rsidR="00767049" w:rsidRPr="00767049" w:rsidRDefault="00767049" w:rsidP="00767049">
            <w:pPr>
              <w:widowControl w:val="0"/>
              <w:spacing w:line="220" w:lineRule="exact"/>
              <w:ind w:firstLine="372"/>
              <w:rPr>
                <w:rFonts w:eastAsia="Times New Roman"/>
                <w:lang w:eastAsia="lt-LT" w:bidi="lt-LT"/>
              </w:rPr>
            </w:pPr>
            <w:r w:rsidRPr="00767049">
              <w:rPr>
                <w:rFonts w:eastAsia="Times New Roman"/>
                <w:lang w:eastAsia="lt-LT" w:bidi="lt-LT"/>
              </w:rPr>
              <w:t>2 – patenkinamai;</w:t>
            </w:r>
          </w:p>
          <w:p w:rsidR="00767049" w:rsidRPr="00767049" w:rsidRDefault="00767049" w:rsidP="00767049">
            <w:pPr>
              <w:widowControl w:val="0"/>
              <w:spacing w:line="220" w:lineRule="exact"/>
              <w:ind w:firstLine="372"/>
              <w:rPr>
                <w:rFonts w:eastAsia="Times New Roman"/>
                <w:lang w:eastAsia="lt-LT" w:bidi="lt-LT"/>
              </w:rPr>
            </w:pPr>
            <w:r w:rsidRPr="00767049">
              <w:rPr>
                <w:rFonts w:eastAsia="Times New Roman"/>
                <w:lang w:eastAsia="lt-LT" w:bidi="lt-LT"/>
              </w:rPr>
              <w:t>3 – gerai;</w:t>
            </w:r>
          </w:p>
          <w:p w:rsidR="00767049" w:rsidRPr="00767049" w:rsidRDefault="00767049" w:rsidP="00767049">
            <w:pPr>
              <w:widowControl w:val="0"/>
              <w:spacing w:line="220" w:lineRule="exact"/>
              <w:ind w:firstLine="372"/>
              <w:rPr>
                <w:rFonts w:eastAsia="Times New Roman"/>
                <w:lang w:eastAsia="lt-LT" w:bidi="lt-LT"/>
              </w:rPr>
            </w:pPr>
            <w:r w:rsidRPr="00767049">
              <w:rPr>
                <w:rFonts w:eastAsia="Times New Roman"/>
                <w:lang w:eastAsia="lt-LT" w:bidi="lt-LT"/>
              </w:rPr>
              <w:t>4 – labai gerai.</w:t>
            </w:r>
          </w:p>
        </w:tc>
      </w:tr>
      <w:tr w:rsidR="00767049" w:rsidRPr="00767049" w:rsidTr="00F32576">
        <w:trPr>
          <w:trHeight w:val="491"/>
          <w:jc w:val="center"/>
        </w:trPr>
        <w:tc>
          <w:tcPr>
            <w:tcW w:w="6843" w:type="dxa"/>
            <w:tcBorders>
              <w:top w:val="single" w:sz="4" w:space="0" w:color="auto"/>
              <w:left w:val="single" w:sz="4" w:space="0" w:color="auto"/>
            </w:tcBorders>
            <w:shd w:val="clear" w:color="auto" w:fill="FFFFFF"/>
            <w:vAlign w:val="center"/>
          </w:tcPr>
          <w:p w:rsidR="00767049" w:rsidRPr="00767049" w:rsidRDefault="00767049" w:rsidP="00767049">
            <w:pPr>
              <w:widowControl w:val="0"/>
              <w:ind w:firstLine="268"/>
              <w:rPr>
                <w:rFonts w:eastAsia="Times New Roman"/>
                <w:lang w:eastAsia="lt-LT" w:bidi="lt-LT"/>
              </w:rPr>
            </w:pPr>
            <w:r w:rsidRPr="00767049">
              <w:rPr>
                <w:rFonts w:eastAsia="Times New Roman"/>
                <w:lang w:eastAsia="lt-LT" w:bidi="lt-LT"/>
              </w:rPr>
              <w:t>5.1. Informacijos ir situacijos valdymas atliekant funkcijas.</w:t>
            </w:r>
          </w:p>
        </w:tc>
        <w:tc>
          <w:tcPr>
            <w:tcW w:w="504" w:type="dxa"/>
            <w:tcBorders>
              <w:top w:val="single" w:sz="4" w:space="0" w:color="auto"/>
              <w:left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1</w:t>
            </w:r>
            <w:r w:rsidRPr="00767049">
              <w:rPr>
                <w:b/>
              </w:rPr>
              <w:t xml:space="preserve"> </w:t>
            </w:r>
            <w:sdt>
              <w:sdtPr>
                <w:rPr>
                  <w:b/>
                </w:rPr>
                <w:id w:val="-1926332554"/>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600" w:type="dxa"/>
            <w:tcBorders>
              <w:top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 xml:space="preserve">2 </w:t>
            </w:r>
            <w:sdt>
              <w:sdtPr>
                <w:rPr>
                  <w:b/>
                </w:rPr>
                <w:id w:val="1703512860"/>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624" w:type="dxa"/>
            <w:tcBorders>
              <w:top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3</w:t>
            </w:r>
            <w:r w:rsidRPr="00767049">
              <w:rPr>
                <w:b/>
              </w:rPr>
              <w:t xml:space="preserve"> </w:t>
            </w:r>
            <w:sdt>
              <w:sdtPr>
                <w:rPr>
                  <w:b/>
                </w:rPr>
                <w:id w:val="-494335669"/>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780" w:type="dxa"/>
            <w:tcBorders>
              <w:top w:val="single" w:sz="4" w:space="0" w:color="auto"/>
              <w:right w:val="single" w:sz="4" w:space="0" w:color="auto"/>
            </w:tcBorders>
            <w:shd w:val="clear" w:color="auto" w:fill="FFFFFF"/>
            <w:vAlign w:val="center"/>
          </w:tcPr>
          <w:p w:rsidR="00767049" w:rsidRPr="00767049" w:rsidRDefault="00767049" w:rsidP="00767049">
            <w:pPr>
              <w:widowControl w:val="0"/>
              <w:ind w:firstLine="67"/>
              <w:rPr>
                <w:rFonts w:eastAsia="Times New Roman"/>
                <w:lang w:eastAsia="lt-LT" w:bidi="lt-LT"/>
              </w:rPr>
            </w:pPr>
            <w:r w:rsidRPr="00767049">
              <w:rPr>
                <w:rFonts w:eastAsia="Times New Roman"/>
                <w:lang w:eastAsia="lt-LT" w:bidi="lt-LT"/>
              </w:rPr>
              <w:t>4</w:t>
            </w:r>
            <w:r w:rsidRPr="00767049">
              <w:rPr>
                <w:b/>
              </w:rPr>
              <w:t xml:space="preserve"> </w:t>
            </w:r>
            <w:sdt>
              <w:sdtPr>
                <w:rPr>
                  <w:b/>
                </w:rPr>
                <w:id w:val="795493926"/>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r>
      <w:tr w:rsidR="00767049" w:rsidRPr="00767049" w:rsidTr="00F32576">
        <w:trPr>
          <w:trHeight w:hRule="exact" w:val="432"/>
          <w:jc w:val="center"/>
        </w:trPr>
        <w:tc>
          <w:tcPr>
            <w:tcW w:w="6843" w:type="dxa"/>
            <w:tcBorders>
              <w:top w:val="single" w:sz="4" w:space="0" w:color="auto"/>
              <w:left w:val="single" w:sz="4" w:space="0" w:color="auto"/>
            </w:tcBorders>
            <w:shd w:val="clear" w:color="auto" w:fill="FFFFFF"/>
            <w:vAlign w:val="center"/>
          </w:tcPr>
          <w:p w:rsidR="00767049" w:rsidRPr="00767049" w:rsidRDefault="00767049" w:rsidP="00767049">
            <w:pPr>
              <w:widowControl w:val="0"/>
              <w:ind w:firstLine="268"/>
              <w:rPr>
                <w:rFonts w:eastAsia="Times New Roman"/>
                <w:lang w:eastAsia="lt-LT" w:bidi="lt-LT"/>
              </w:rPr>
            </w:pPr>
            <w:r w:rsidRPr="00767049">
              <w:rPr>
                <w:rFonts w:eastAsia="Times New Roman"/>
                <w:lang w:eastAsia="lt-LT" w:bidi="lt-LT"/>
              </w:rPr>
              <w:t>5.2. Išteklių (žmogiškųjų, laiko ir materialinių) paskirstymas.</w:t>
            </w:r>
          </w:p>
        </w:tc>
        <w:tc>
          <w:tcPr>
            <w:tcW w:w="504" w:type="dxa"/>
            <w:tcBorders>
              <w:top w:val="single" w:sz="4" w:space="0" w:color="auto"/>
              <w:left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1</w:t>
            </w:r>
            <w:r w:rsidRPr="00767049">
              <w:rPr>
                <w:b/>
              </w:rPr>
              <w:t xml:space="preserve"> </w:t>
            </w:r>
            <w:sdt>
              <w:sdtPr>
                <w:rPr>
                  <w:b/>
                </w:rPr>
                <w:id w:val="1953204401"/>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600" w:type="dxa"/>
            <w:tcBorders>
              <w:top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 xml:space="preserve">2 </w:t>
            </w:r>
            <w:sdt>
              <w:sdtPr>
                <w:rPr>
                  <w:b/>
                </w:rPr>
                <w:id w:val="1142005785"/>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624" w:type="dxa"/>
            <w:tcBorders>
              <w:top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3</w:t>
            </w:r>
            <w:r w:rsidRPr="00767049">
              <w:rPr>
                <w:b/>
              </w:rPr>
              <w:t xml:space="preserve"> </w:t>
            </w:r>
            <w:sdt>
              <w:sdtPr>
                <w:rPr>
                  <w:b/>
                </w:rPr>
                <w:id w:val="1112321583"/>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780" w:type="dxa"/>
            <w:tcBorders>
              <w:top w:val="single" w:sz="4" w:space="0" w:color="auto"/>
              <w:right w:val="single" w:sz="4" w:space="0" w:color="auto"/>
            </w:tcBorders>
            <w:shd w:val="clear" w:color="auto" w:fill="FFFFFF"/>
            <w:vAlign w:val="center"/>
          </w:tcPr>
          <w:p w:rsidR="00767049" w:rsidRPr="00767049" w:rsidRDefault="00767049" w:rsidP="00767049">
            <w:pPr>
              <w:widowControl w:val="0"/>
              <w:ind w:firstLine="67"/>
              <w:rPr>
                <w:rFonts w:eastAsia="Times New Roman"/>
                <w:lang w:eastAsia="lt-LT" w:bidi="lt-LT"/>
              </w:rPr>
            </w:pPr>
            <w:r w:rsidRPr="00767049">
              <w:rPr>
                <w:rFonts w:eastAsia="Times New Roman"/>
                <w:lang w:eastAsia="lt-LT" w:bidi="lt-LT"/>
              </w:rPr>
              <w:t>4</w:t>
            </w:r>
            <w:r w:rsidRPr="00767049">
              <w:rPr>
                <w:b/>
              </w:rPr>
              <w:t xml:space="preserve"> </w:t>
            </w:r>
            <w:sdt>
              <w:sdtPr>
                <w:rPr>
                  <w:b/>
                </w:rPr>
                <w:id w:val="-1803376496"/>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r>
      <w:tr w:rsidR="00767049" w:rsidRPr="00767049" w:rsidTr="00F32576">
        <w:trPr>
          <w:trHeight w:hRule="exact" w:val="425"/>
          <w:jc w:val="center"/>
        </w:trPr>
        <w:tc>
          <w:tcPr>
            <w:tcW w:w="6843" w:type="dxa"/>
            <w:tcBorders>
              <w:top w:val="single" w:sz="4" w:space="0" w:color="auto"/>
              <w:left w:val="single" w:sz="4" w:space="0" w:color="auto"/>
            </w:tcBorders>
            <w:shd w:val="clear" w:color="auto" w:fill="FFFFFF"/>
            <w:vAlign w:val="center"/>
          </w:tcPr>
          <w:p w:rsidR="00767049" w:rsidRPr="00767049" w:rsidRDefault="00767049" w:rsidP="00767049">
            <w:pPr>
              <w:widowControl w:val="0"/>
              <w:ind w:firstLine="268"/>
              <w:rPr>
                <w:rFonts w:eastAsia="Times New Roman"/>
                <w:lang w:eastAsia="lt-LT" w:bidi="lt-LT"/>
              </w:rPr>
            </w:pPr>
            <w:r w:rsidRPr="00767049">
              <w:rPr>
                <w:rFonts w:eastAsia="Times New Roman"/>
                <w:lang w:eastAsia="lt-LT" w:bidi="lt-LT"/>
              </w:rPr>
              <w:t>5.3. Lyderystės ir vadovavimo efektyvumas.</w:t>
            </w:r>
          </w:p>
        </w:tc>
        <w:tc>
          <w:tcPr>
            <w:tcW w:w="504" w:type="dxa"/>
            <w:tcBorders>
              <w:top w:val="single" w:sz="4" w:space="0" w:color="auto"/>
              <w:left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1</w:t>
            </w:r>
            <w:r w:rsidRPr="00767049">
              <w:rPr>
                <w:b/>
              </w:rPr>
              <w:t xml:space="preserve"> </w:t>
            </w:r>
            <w:sdt>
              <w:sdtPr>
                <w:rPr>
                  <w:b/>
                </w:rPr>
                <w:id w:val="-202939427"/>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600" w:type="dxa"/>
            <w:tcBorders>
              <w:top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 xml:space="preserve">2 </w:t>
            </w:r>
            <w:sdt>
              <w:sdtPr>
                <w:rPr>
                  <w:b/>
                </w:rPr>
                <w:id w:val="2075929570"/>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624" w:type="dxa"/>
            <w:tcBorders>
              <w:top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3</w:t>
            </w:r>
            <w:r w:rsidRPr="00767049">
              <w:rPr>
                <w:b/>
              </w:rPr>
              <w:t xml:space="preserve"> </w:t>
            </w:r>
            <w:sdt>
              <w:sdtPr>
                <w:rPr>
                  <w:b/>
                </w:rPr>
                <w:id w:val="-1037420805"/>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780" w:type="dxa"/>
            <w:tcBorders>
              <w:top w:val="single" w:sz="4" w:space="0" w:color="auto"/>
              <w:right w:val="single" w:sz="4" w:space="0" w:color="auto"/>
            </w:tcBorders>
            <w:shd w:val="clear" w:color="auto" w:fill="FFFFFF"/>
            <w:vAlign w:val="center"/>
          </w:tcPr>
          <w:p w:rsidR="00767049" w:rsidRPr="00767049" w:rsidRDefault="00767049" w:rsidP="00767049">
            <w:pPr>
              <w:widowControl w:val="0"/>
              <w:ind w:firstLine="67"/>
              <w:rPr>
                <w:rFonts w:eastAsia="Times New Roman"/>
                <w:lang w:eastAsia="lt-LT" w:bidi="lt-LT"/>
              </w:rPr>
            </w:pPr>
            <w:r w:rsidRPr="00767049">
              <w:rPr>
                <w:rFonts w:eastAsia="Times New Roman"/>
                <w:lang w:eastAsia="lt-LT" w:bidi="lt-LT"/>
              </w:rPr>
              <w:t>4</w:t>
            </w:r>
            <w:r w:rsidRPr="00767049">
              <w:rPr>
                <w:b/>
              </w:rPr>
              <w:t xml:space="preserve"> </w:t>
            </w:r>
            <w:sdt>
              <w:sdtPr>
                <w:rPr>
                  <w:b/>
                </w:rPr>
                <w:id w:val="-2084669651"/>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r>
      <w:tr w:rsidR="00767049" w:rsidRPr="00767049" w:rsidTr="00F32576">
        <w:trPr>
          <w:trHeight w:hRule="exact" w:val="274"/>
          <w:jc w:val="center"/>
        </w:trPr>
        <w:tc>
          <w:tcPr>
            <w:tcW w:w="6843" w:type="dxa"/>
            <w:tcBorders>
              <w:top w:val="single" w:sz="4" w:space="0" w:color="auto"/>
              <w:left w:val="single" w:sz="4" w:space="0" w:color="auto"/>
            </w:tcBorders>
            <w:shd w:val="clear" w:color="auto" w:fill="FFFFFF"/>
            <w:vAlign w:val="center"/>
          </w:tcPr>
          <w:p w:rsidR="00767049" w:rsidRPr="00767049" w:rsidRDefault="00767049" w:rsidP="00767049">
            <w:pPr>
              <w:widowControl w:val="0"/>
              <w:ind w:firstLine="268"/>
              <w:rPr>
                <w:rFonts w:eastAsia="Times New Roman"/>
                <w:lang w:eastAsia="lt-LT" w:bidi="lt-LT"/>
              </w:rPr>
            </w:pPr>
            <w:r w:rsidRPr="00767049">
              <w:rPr>
                <w:rFonts w:eastAsia="Times New Roman"/>
                <w:lang w:eastAsia="lt-LT" w:bidi="lt-LT"/>
              </w:rPr>
              <w:t>5.4. Žinių, gebėjimų ir įgūdžių panaudojimas, atliekant funkcijas ir siekiant rezultatų</w:t>
            </w:r>
          </w:p>
        </w:tc>
        <w:tc>
          <w:tcPr>
            <w:tcW w:w="504" w:type="dxa"/>
            <w:tcBorders>
              <w:top w:val="single" w:sz="4" w:space="0" w:color="auto"/>
              <w:left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1</w:t>
            </w:r>
            <w:r w:rsidRPr="00767049">
              <w:rPr>
                <w:b/>
              </w:rPr>
              <w:t xml:space="preserve"> </w:t>
            </w:r>
            <w:sdt>
              <w:sdtPr>
                <w:rPr>
                  <w:b/>
                </w:rPr>
                <w:id w:val="-1793359435"/>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600" w:type="dxa"/>
            <w:tcBorders>
              <w:top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 xml:space="preserve">2 </w:t>
            </w:r>
            <w:sdt>
              <w:sdtPr>
                <w:rPr>
                  <w:b/>
                </w:rPr>
                <w:id w:val="1279370800"/>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624" w:type="dxa"/>
            <w:tcBorders>
              <w:top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3</w:t>
            </w:r>
            <w:r w:rsidRPr="00767049">
              <w:rPr>
                <w:b/>
              </w:rPr>
              <w:t xml:space="preserve"> </w:t>
            </w:r>
            <w:sdt>
              <w:sdtPr>
                <w:rPr>
                  <w:b/>
                </w:rPr>
                <w:id w:val="-417101377"/>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780" w:type="dxa"/>
            <w:tcBorders>
              <w:top w:val="single" w:sz="4" w:space="0" w:color="auto"/>
              <w:right w:val="single" w:sz="4" w:space="0" w:color="auto"/>
            </w:tcBorders>
            <w:shd w:val="clear" w:color="auto" w:fill="FFFFFF"/>
            <w:vAlign w:val="center"/>
          </w:tcPr>
          <w:p w:rsidR="00767049" w:rsidRPr="00767049" w:rsidRDefault="00767049" w:rsidP="00767049">
            <w:pPr>
              <w:widowControl w:val="0"/>
              <w:ind w:firstLine="67"/>
              <w:rPr>
                <w:rFonts w:eastAsia="Times New Roman"/>
                <w:lang w:eastAsia="lt-LT" w:bidi="lt-LT"/>
              </w:rPr>
            </w:pPr>
            <w:r w:rsidRPr="00767049">
              <w:rPr>
                <w:rFonts w:eastAsia="Times New Roman"/>
                <w:lang w:eastAsia="lt-LT" w:bidi="lt-LT"/>
              </w:rPr>
              <w:t>4</w:t>
            </w:r>
            <w:r w:rsidRPr="00767049">
              <w:rPr>
                <w:b/>
              </w:rPr>
              <w:t xml:space="preserve"> </w:t>
            </w:r>
            <w:sdt>
              <w:sdtPr>
                <w:rPr>
                  <w:b/>
                </w:rPr>
                <w:id w:val="-817113354"/>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r>
      <w:tr w:rsidR="00767049" w:rsidRPr="00767049" w:rsidTr="00F32576">
        <w:trPr>
          <w:trHeight w:hRule="exact" w:val="293"/>
          <w:jc w:val="center"/>
        </w:trPr>
        <w:tc>
          <w:tcPr>
            <w:tcW w:w="6843" w:type="dxa"/>
            <w:tcBorders>
              <w:left w:val="single" w:sz="4" w:space="0" w:color="auto"/>
            </w:tcBorders>
            <w:shd w:val="clear" w:color="auto" w:fill="FFFFFF"/>
            <w:vAlign w:val="center"/>
          </w:tcPr>
          <w:p w:rsidR="00767049" w:rsidRPr="00767049" w:rsidRDefault="00767049" w:rsidP="00767049">
            <w:pPr>
              <w:widowControl w:val="0"/>
              <w:ind w:firstLine="0"/>
              <w:rPr>
                <w:rFonts w:eastAsia="Times New Roman"/>
                <w:lang w:eastAsia="lt-LT" w:bidi="lt-LT"/>
              </w:rPr>
            </w:pPr>
            <w:r w:rsidRPr="00767049">
              <w:rPr>
                <w:rFonts w:eastAsia="Times New Roman"/>
                <w:lang w:eastAsia="lt-LT" w:bidi="lt-LT"/>
              </w:rPr>
              <w:t>siekiant rezultatų.</w:t>
            </w:r>
          </w:p>
        </w:tc>
        <w:tc>
          <w:tcPr>
            <w:tcW w:w="2508" w:type="dxa"/>
            <w:gridSpan w:val="4"/>
            <w:tcBorders>
              <w:left w:val="single" w:sz="4" w:space="0" w:color="auto"/>
              <w:right w:val="single" w:sz="4" w:space="0" w:color="auto"/>
            </w:tcBorders>
            <w:shd w:val="clear" w:color="auto" w:fill="FFFFFF"/>
            <w:vAlign w:val="center"/>
          </w:tcPr>
          <w:p w:rsidR="00767049" w:rsidRPr="00767049" w:rsidRDefault="00767049" w:rsidP="00767049">
            <w:pPr>
              <w:widowControl w:val="0"/>
              <w:ind w:firstLine="67"/>
              <w:rPr>
                <w:rFonts w:eastAsia="Courier New"/>
                <w:lang w:eastAsia="lt-LT" w:bidi="lt-LT"/>
              </w:rPr>
            </w:pPr>
          </w:p>
        </w:tc>
      </w:tr>
      <w:tr w:rsidR="00767049" w:rsidRPr="00767049" w:rsidTr="00F32576">
        <w:trPr>
          <w:trHeight w:hRule="exact" w:val="426"/>
          <w:jc w:val="center"/>
        </w:trPr>
        <w:tc>
          <w:tcPr>
            <w:tcW w:w="6843" w:type="dxa"/>
            <w:tcBorders>
              <w:top w:val="single" w:sz="4" w:space="0" w:color="auto"/>
              <w:left w:val="single" w:sz="4" w:space="0" w:color="auto"/>
              <w:bottom w:val="single" w:sz="4" w:space="0" w:color="auto"/>
            </w:tcBorders>
            <w:shd w:val="clear" w:color="auto" w:fill="FFFFFF"/>
            <w:vAlign w:val="center"/>
          </w:tcPr>
          <w:p w:rsidR="00767049" w:rsidRPr="00767049" w:rsidRDefault="00767049" w:rsidP="00767049">
            <w:pPr>
              <w:widowControl w:val="0"/>
              <w:ind w:firstLine="268"/>
              <w:rPr>
                <w:rFonts w:eastAsia="Times New Roman"/>
                <w:lang w:eastAsia="lt-LT" w:bidi="lt-LT"/>
              </w:rPr>
            </w:pPr>
            <w:r w:rsidRPr="00767049">
              <w:rPr>
                <w:rFonts w:eastAsia="Times New Roman"/>
                <w:lang w:eastAsia="lt-LT" w:bidi="lt-LT"/>
              </w:rPr>
              <w:t>5.5. Bendras įvertinimas (pažymimas vidurkis).</w:t>
            </w:r>
          </w:p>
        </w:tc>
        <w:tc>
          <w:tcPr>
            <w:tcW w:w="504" w:type="dxa"/>
            <w:tcBorders>
              <w:top w:val="single" w:sz="4" w:space="0" w:color="auto"/>
              <w:left w:val="single" w:sz="4" w:space="0" w:color="auto"/>
              <w:bottom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1</w:t>
            </w:r>
            <w:r w:rsidRPr="00767049">
              <w:rPr>
                <w:b/>
              </w:rPr>
              <w:t xml:space="preserve"> </w:t>
            </w:r>
            <w:sdt>
              <w:sdtPr>
                <w:rPr>
                  <w:b/>
                </w:rPr>
                <w:id w:val="653658298"/>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600" w:type="dxa"/>
            <w:tcBorders>
              <w:top w:val="single" w:sz="4" w:space="0" w:color="auto"/>
              <w:bottom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 xml:space="preserve">2 </w:t>
            </w:r>
            <w:sdt>
              <w:sdtPr>
                <w:rPr>
                  <w:b/>
                </w:rPr>
                <w:id w:val="615720307"/>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624" w:type="dxa"/>
            <w:tcBorders>
              <w:top w:val="single" w:sz="4" w:space="0" w:color="auto"/>
              <w:bottom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3</w:t>
            </w:r>
            <w:r w:rsidRPr="00767049">
              <w:rPr>
                <w:b/>
              </w:rPr>
              <w:t xml:space="preserve"> </w:t>
            </w:r>
            <w:sdt>
              <w:sdtPr>
                <w:rPr>
                  <w:b/>
                </w:rPr>
                <w:id w:val="1870644842"/>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c>
          <w:tcPr>
            <w:tcW w:w="780" w:type="dxa"/>
            <w:tcBorders>
              <w:top w:val="single" w:sz="4" w:space="0" w:color="auto"/>
              <w:bottom w:val="single" w:sz="4" w:space="0" w:color="auto"/>
              <w:right w:val="single" w:sz="4" w:space="0" w:color="auto"/>
            </w:tcBorders>
            <w:shd w:val="clear" w:color="auto" w:fill="FFFFFF"/>
            <w:vAlign w:val="center"/>
          </w:tcPr>
          <w:p w:rsidR="00767049" w:rsidRPr="00767049" w:rsidRDefault="00767049" w:rsidP="00767049">
            <w:pPr>
              <w:widowControl w:val="0"/>
              <w:ind w:firstLine="67"/>
              <w:rPr>
                <w:rFonts w:eastAsia="Times New Roman"/>
                <w:lang w:eastAsia="lt-LT" w:bidi="lt-LT"/>
              </w:rPr>
            </w:pPr>
            <w:r w:rsidRPr="00767049">
              <w:rPr>
                <w:rFonts w:eastAsia="Times New Roman"/>
                <w:lang w:eastAsia="lt-LT" w:bidi="lt-LT"/>
              </w:rPr>
              <w:t>4</w:t>
            </w:r>
            <w:r w:rsidRPr="00767049">
              <w:rPr>
                <w:b/>
              </w:rPr>
              <w:t xml:space="preserve"> </w:t>
            </w:r>
            <w:sdt>
              <w:sdtPr>
                <w:rPr>
                  <w:b/>
                </w:rPr>
                <w:id w:val="1114331153"/>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r>
    </w:tbl>
    <w:p w:rsidR="00767049" w:rsidRPr="00767049" w:rsidRDefault="00767049" w:rsidP="00767049">
      <w:pPr>
        <w:widowControl w:val="0"/>
        <w:spacing w:line="266" w:lineRule="exact"/>
        <w:ind w:firstLine="0"/>
        <w:contextualSpacing/>
        <w:jc w:val="center"/>
        <w:rPr>
          <w:rFonts w:eastAsia="Times New Roman"/>
          <w:b/>
          <w:bCs/>
          <w:lang w:eastAsia="lt-LT" w:bidi="lt-LT"/>
        </w:rPr>
      </w:pP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IV SKYRIUS</w:t>
      </w: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PASIEKTŲ REZULTATŲ VYKDANT UŽDUOTIS ĮSIVERTINIMAS IR</w:t>
      </w: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KOMPETENCIJŲ TOBULINIMAS</w:t>
      </w:r>
    </w:p>
    <w:p w:rsidR="00767049" w:rsidRPr="00767049" w:rsidRDefault="00767049" w:rsidP="00767049">
      <w:pPr>
        <w:widowControl w:val="0"/>
        <w:numPr>
          <w:ilvl w:val="0"/>
          <w:numId w:val="38"/>
        </w:numPr>
        <w:spacing w:before="240" w:line="360" w:lineRule="auto"/>
        <w:ind w:left="714" w:hanging="357"/>
        <w:jc w:val="both"/>
        <w:rPr>
          <w:rFonts w:eastAsia="Times New Roman"/>
          <w:b/>
          <w:bCs/>
        </w:rPr>
      </w:pPr>
      <w:r w:rsidRPr="00767049">
        <w:rPr>
          <w:rFonts w:eastAsia="Times New Roman"/>
          <w:b/>
          <w:bCs/>
        </w:rPr>
        <w:t>Pasiektų rezultatų vykdant užduotis įsivertinimas.</w:t>
      </w:r>
    </w:p>
    <w:tbl>
      <w:tblPr>
        <w:tblpPr w:leftFromText="180" w:rightFromText="180" w:vertAnchor="text" w:horzAnchor="margin" w:tblpY="116"/>
        <w:tblOverlap w:val="never"/>
        <w:tblW w:w="0" w:type="auto"/>
        <w:tblLayout w:type="fixed"/>
        <w:tblCellMar>
          <w:left w:w="10" w:type="dxa"/>
          <w:right w:w="10" w:type="dxa"/>
        </w:tblCellMar>
        <w:tblLook w:val="04A0" w:firstRow="1" w:lastRow="0" w:firstColumn="1" w:lastColumn="0" w:noHBand="0" w:noVBand="1"/>
      </w:tblPr>
      <w:tblGrid>
        <w:gridCol w:w="6799"/>
        <w:gridCol w:w="2714"/>
      </w:tblGrid>
      <w:tr w:rsidR="00767049" w:rsidRPr="00767049" w:rsidTr="00F32576">
        <w:trPr>
          <w:trHeight w:hRule="exact" w:val="528"/>
        </w:trPr>
        <w:tc>
          <w:tcPr>
            <w:tcW w:w="6799" w:type="dxa"/>
            <w:tcBorders>
              <w:top w:val="single" w:sz="4" w:space="0" w:color="auto"/>
              <w:left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lang w:eastAsia="lt-LT" w:bidi="lt-LT"/>
              </w:rPr>
              <w:t>Užduočių įvykdymo aprašymas</w:t>
            </w:r>
          </w:p>
        </w:tc>
        <w:tc>
          <w:tcPr>
            <w:tcW w:w="2714" w:type="dxa"/>
            <w:tcBorders>
              <w:top w:val="single" w:sz="4" w:space="0" w:color="auto"/>
              <w:left w:val="single" w:sz="4" w:space="0" w:color="auto"/>
              <w:right w:val="single" w:sz="4" w:space="0" w:color="auto"/>
            </w:tcBorders>
            <w:shd w:val="clear" w:color="auto" w:fill="FFFFFF"/>
            <w:vAlign w:val="center"/>
          </w:tcPr>
          <w:p w:rsidR="00767049" w:rsidRPr="00767049" w:rsidRDefault="00767049" w:rsidP="00767049">
            <w:pPr>
              <w:widowControl w:val="0"/>
              <w:ind w:firstLine="0"/>
              <w:jc w:val="center"/>
              <w:rPr>
                <w:rFonts w:eastAsia="Times New Roman"/>
                <w:lang w:eastAsia="lt-LT" w:bidi="lt-LT"/>
              </w:rPr>
            </w:pPr>
            <w:r w:rsidRPr="00767049">
              <w:rPr>
                <w:rFonts w:eastAsia="Times New Roman"/>
                <w:sz w:val="22"/>
                <w:lang w:eastAsia="lt-LT" w:bidi="lt-LT"/>
              </w:rPr>
              <w:t>Pažymimas atitinkamas langelis</w:t>
            </w:r>
          </w:p>
        </w:tc>
      </w:tr>
      <w:tr w:rsidR="00767049" w:rsidRPr="00767049" w:rsidTr="00F32576">
        <w:trPr>
          <w:trHeight w:hRule="exact" w:val="302"/>
        </w:trPr>
        <w:tc>
          <w:tcPr>
            <w:tcW w:w="6799" w:type="dxa"/>
            <w:tcBorders>
              <w:top w:val="single" w:sz="4" w:space="0" w:color="auto"/>
              <w:left w:val="single" w:sz="4" w:space="0" w:color="auto"/>
            </w:tcBorders>
            <w:shd w:val="clear" w:color="auto" w:fill="FFFFFF"/>
            <w:vAlign w:val="center"/>
          </w:tcPr>
          <w:p w:rsidR="00767049" w:rsidRPr="00767049" w:rsidRDefault="00767049" w:rsidP="00767049">
            <w:pPr>
              <w:widowControl w:val="0"/>
              <w:ind w:firstLine="268"/>
              <w:jc w:val="both"/>
              <w:rPr>
                <w:rFonts w:eastAsia="Times New Roman"/>
                <w:lang w:eastAsia="lt-LT" w:bidi="lt-LT"/>
              </w:rPr>
            </w:pPr>
            <w:r w:rsidRPr="00767049">
              <w:rPr>
                <w:rFonts w:eastAsia="Times New Roman"/>
                <w:lang w:eastAsia="lt-LT" w:bidi="lt-LT"/>
              </w:rPr>
              <w:lastRenderedPageBreak/>
              <w:t>6.1. Visos užduotys įvykdytos ir viršijo kai kuriuos sutartus. vertinimo ros</w:t>
            </w:r>
          </w:p>
        </w:tc>
        <w:tc>
          <w:tcPr>
            <w:tcW w:w="2714" w:type="dxa"/>
            <w:tcBorders>
              <w:top w:val="single" w:sz="4" w:space="0" w:color="auto"/>
              <w:left w:val="single" w:sz="4" w:space="0" w:color="auto"/>
              <w:right w:val="single" w:sz="4" w:space="0" w:color="auto"/>
            </w:tcBorders>
            <w:shd w:val="clear" w:color="auto" w:fill="FFFFFF"/>
            <w:vAlign w:val="center"/>
          </w:tcPr>
          <w:p w:rsidR="00767049" w:rsidRPr="00767049" w:rsidRDefault="00767049" w:rsidP="00767049">
            <w:pPr>
              <w:widowControl w:val="0"/>
              <w:ind w:right="434" w:firstLine="0"/>
              <w:jc w:val="right"/>
              <w:rPr>
                <w:rFonts w:eastAsia="Times New Roman"/>
                <w:lang w:eastAsia="lt-LT" w:bidi="lt-LT"/>
              </w:rPr>
            </w:pPr>
            <w:r w:rsidRPr="00767049">
              <w:rPr>
                <w:rFonts w:eastAsia="Times New Roman"/>
                <w:lang w:eastAsia="lt-LT" w:bidi="lt-LT"/>
              </w:rPr>
              <w:t xml:space="preserve">Labai gerai </w:t>
            </w:r>
            <w:sdt>
              <w:sdtPr>
                <w:rPr>
                  <w:b/>
                </w:rPr>
                <w:id w:val="1609077062"/>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r>
      <w:tr w:rsidR="00767049" w:rsidRPr="00767049" w:rsidTr="00F32576">
        <w:trPr>
          <w:trHeight w:hRule="exact" w:val="595"/>
        </w:trPr>
        <w:tc>
          <w:tcPr>
            <w:tcW w:w="6799" w:type="dxa"/>
            <w:tcBorders>
              <w:top w:val="single" w:sz="4" w:space="0" w:color="auto"/>
              <w:left w:val="single" w:sz="4" w:space="0" w:color="auto"/>
            </w:tcBorders>
            <w:shd w:val="clear" w:color="auto" w:fill="FFFFFF"/>
            <w:vAlign w:val="center"/>
          </w:tcPr>
          <w:p w:rsidR="00767049" w:rsidRPr="00767049" w:rsidRDefault="00767049" w:rsidP="00767049">
            <w:pPr>
              <w:widowControl w:val="0"/>
              <w:ind w:firstLine="268"/>
              <w:jc w:val="both"/>
              <w:rPr>
                <w:rFonts w:eastAsia="Times New Roman"/>
                <w:lang w:eastAsia="lt-LT" w:bidi="lt-LT"/>
              </w:rPr>
            </w:pPr>
            <w:r w:rsidRPr="00767049">
              <w:rPr>
                <w:rFonts w:eastAsia="Times New Roman"/>
                <w:lang w:eastAsia="lt-LT" w:bidi="lt-LT"/>
              </w:rPr>
              <w:t>6.2. Užduotys iš esmės įvykdytos arba viena neįvykdyta pagal sutartus vertinimo rodiklius.</w:t>
            </w:r>
          </w:p>
        </w:tc>
        <w:tc>
          <w:tcPr>
            <w:tcW w:w="2714" w:type="dxa"/>
            <w:tcBorders>
              <w:top w:val="single" w:sz="4" w:space="0" w:color="auto"/>
              <w:left w:val="single" w:sz="4" w:space="0" w:color="auto"/>
              <w:right w:val="single" w:sz="4" w:space="0" w:color="auto"/>
            </w:tcBorders>
            <w:shd w:val="clear" w:color="auto" w:fill="FFFFFF"/>
            <w:vAlign w:val="center"/>
          </w:tcPr>
          <w:p w:rsidR="00767049" w:rsidRPr="00767049" w:rsidRDefault="00767049" w:rsidP="00767049">
            <w:pPr>
              <w:widowControl w:val="0"/>
              <w:ind w:right="434" w:firstLine="0"/>
              <w:jc w:val="right"/>
              <w:rPr>
                <w:rFonts w:eastAsia="Times New Roman"/>
                <w:lang w:eastAsia="lt-LT" w:bidi="lt-LT"/>
              </w:rPr>
            </w:pPr>
            <w:r w:rsidRPr="00767049">
              <w:rPr>
                <w:rFonts w:eastAsia="Times New Roman"/>
                <w:lang w:eastAsia="lt-LT" w:bidi="lt-LT"/>
              </w:rPr>
              <w:t xml:space="preserve">Gerai </w:t>
            </w:r>
            <w:sdt>
              <w:sdtPr>
                <w:rPr>
                  <w:b/>
                </w:rPr>
                <w:id w:val="1646470199"/>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r>
      <w:tr w:rsidR="00767049" w:rsidRPr="00767049" w:rsidTr="00F32576">
        <w:trPr>
          <w:trHeight w:hRule="exact" w:val="575"/>
        </w:trPr>
        <w:tc>
          <w:tcPr>
            <w:tcW w:w="6799" w:type="dxa"/>
            <w:tcBorders>
              <w:top w:val="single" w:sz="4" w:space="0" w:color="auto"/>
              <w:left w:val="single" w:sz="4" w:space="0" w:color="auto"/>
            </w:tcBorders>
            <w:shd w:val="clear" w:color="auto" w:fill="FFFFFF"/>
            <w:vAlign w:val="center"/>
          </w:tcPr>
          <w:p w:rsidR="00767049" w:rsidRPr="00767049" w:rsidRDefault="00767049" w:rsidP="00767049">
            <w:pPr>
              <w:widowControl w:val="0"/>
              <w:ind w:firstLine="268"/>
              <w:jc w:val="both"/>
              <w:rPr>
                <w:rFonts w:eastAsia="Times New Roman"/>
                <w:lang w:eastAsia="lt-LT" w:bidi="lt-LT"/>
              </w:rPr>
            </w:pPr>
            <w:r w:rsidRPr="00767049">
              <w:rPr>
                <w:rFonts w:eastAsia="Times New Roman"/>
                <w:lang w:eastAsia="lt-LT" w:bidi="lt-LT"/>
              </w:rPr>
              <w:t xml:space="preserve">6.3. Įvykdyta </w:t>
            </w:r>
            <w:r w:rsidRPr="00767049">
              <w:rPr>
                <w:shd w:val="clear" w:color="auto" w:fill="FFFFFF"/>
              </w:rPr>
              <w:t xml:space="preserve">nemažiau </w:t>
            </w:r>
            <w:r w:rsidRPr="00767049">
              <w:rPr>
                <w:rFonts w:eastAsia="Times New Roman"/>
                <w:lang w:eastAsia="lt-LT" w:bidi="lt-LT"/>
              </w:rPr>
              <w:t>pusė užduočių pagal sutartus vertinimo rodiklius.</w:t>
            </w:r>
          </w:p>
        </w:tc>
        <w:tc>
          <w:tcPr>
            <w:tcW w:w="2714" w:type="dxa"/>
            <w:tcBorders>
              <w:top w:val="single" w:sz="4" w:space="0" w:color="auto"/>
              <w:left w:val="single" w:sz="4" w:space="0" w:color="auto"/>
              <w:right w:val="single" w:sz="4" w:space="0" w:color="auto"/>
            </w:tcBorders>
            <w:shd w:val="clear" w:color="auto" w:fill="FFFFFF"/>
            <w:vAlign w:val="center"/>
          </w:tcPr>
          <w:p w:rsidR="00767049" w:rsidRPr="00767049" w:rsidRDefault="00767049" w:rsidP="00767049">
            <w:pPr>
              <w:widowControl w:val="0"/>
              <w:ind w:right="434" w:firstLine="0"/>
              <w:jc w:val="right"/>
              <w:rPr>
                <w:rFonts w:eastAsia="Times New Roman"/>
                <w:lang w:eastAsia="lt-LT" w:bidi="lt-LT"/>
              </w:rPr>
            </w:pPr>
            <w:r w:rsidRPr="00767049">
              <w:rPr>
                <w:rFonts w:eastAsia="Times New Roman"/>
                <w:lang w:eastAsia="lt-LT" w:bidi="lt-LT"/>
              </w:rPr>
              <w:t xml:space="preserve">Patenkinamai </w:t>
            </w:r>
            <w:sdt>
              <w:sdtPr>
                <w:rPr>
                  <w:b/>
                </w:rPr>
                <w:id w:val="-1762052466"/>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r>
      <w:tr w:rsidR="00767049" w:rsidRPr="00767049" w:rsidTr="00F32576">
        <w:trPr>
          <w:trHeight w:hRule="exact" w:val="569"/>
        </w:trPr>
        <w:tc>
          <w:tcPr>
            <w:tcW w:w="6799" w:type="dxa"/>
            <w:tcBorders>
              <w:top w:val="single" w:sz="4" w:space="0" w:color="auto"/>
              <w:left w:val="single" w:sz="4" w:space="0" w:color="auto"/>
              <w:bottom w:val="single" w:sz="4" w:space="0" w:color="auto"/>
            </w:tcBorders>
            <w:shd w:val="clear" w:color="auto" w:fill="FFFFFF"/>
            <w:vAlign w:val="center"/>
          </w:tcPr>
          <w:p w:rsidR="00767049" w:rsidRPr="00767049" w:rsidRDefault="00767049" w:rsidP="00767049">
            <w:pPr>
              <w:widowControl w:val="0"/>
              <w:ind w:firstLine="268"/>
              <w:jc w:val="both"/>
              <w:rPr>
                <w:rFonts w:eastAsia="Times New Roman"/>
                <w:lang w:eastAsia="lt-LT" w:bidi="lt-LT"/>
              </w:rPr>
            </w:pPr>
            <w:r w:rsidRPr="00767049">
              <w:rPr>
                <w:rFonts w:eastAsia="Times New Roman"/>
                <w:lang w:eastAsia="lt-LT" w:bidi="lt-LT"/>
              </w:rPr>
              <w:t>6 4. Pusė ar daugiau užduotys neįvykdyta pagal sutartus vertinimo rodiklius.</w:t>
            </w:r>
          </w:p>
        </w:tc>
        <w:tc>
          <w:tcPr>
            <w:tcW w:w="2714" w:type="dxa"/>
            <w:tcBorders>
              <w:top w:val="single" w:sz="4" w:space="0" w:color="auto"/>
              <w:left w:val="single" w:sz="4" w:space="0" w:color="auto"/>
              <w:bottom w:val="single" w:sz="4" w:space="0" w:color="auto"/>
              <w:right w:val="single" w:sz="4" w:space="0" w:color="auto"/>
            </w:tcBorders>
            <w:shd w:val="clear" w:color="auto" w:fill="FFFFFF"/>
            <w:vAlign w:val="center"/>
          </w:tcPr>
          <w:p w:rsidR="00767049" w:rsidRPr="00767049" w:rsidRDefault="00767049" w:rsidP="00767049">
            <w:pPr>
              <w:widowControl w:val="0"/>
              <w:ind w:right="434" w:firstLine="0"/>
              <w:jc w:val="right"/>
              <w:rPr>
                <w:rFonts w:eastAsia="Times New Roman"/>
                <w:lang w:eastAsia="lt-LT" w:bidi="lt-LT"/>
              </w:rPr>
            </w:pPr>
            <w:r w:rsidRPr="00767049">
              <w:rPr>
                <w:rFonts w:eastAsia="Times New Roman"/>
                <w:lang w:eastAsia="lt-LT" w:bidi="lt-LT"/>
              </w:rPr>
              <w:t xml:space="preserve">Nepatenkinamai </w:t>
            </w:r>
            <w:sdt>
              <w:sdtPr>
                <w:rPr>
                  <w:b/>
                </w:rPr>
                <w:id w:val="774836050"/>
                <w14:checkbox>
                  <w14:checked w14:val="0"/>
                  <w14:checkedState w14:val="2612" w14:font="MS Gothic"/>
                  <w14:uncheckedState w14:val="2610" w14:font="MS Gothic"/>
                </w14:checkbox>
              </w:sdtPr>
              <w:sdtEndPr/>
              <w:sdtContent>
                <w:r w:rsidRPr="00767049">
                  <w:rPr>
                    <w:rFonts w:ascii="Segoe UI Symbol" w:hAnsi="Segoe UI Symbol" w:cs="Segoe UI Symbol"/>
                    <w:b/>
                  </w:rPr>
                  <w:t>☐</w:t>
                </w:r>
              </w:sdtContent>
            </w:sdt>
          </w:p>
        </w:tc>
      </w:tr>
    </w:tbl>
    <w:p w:rsidR="00767049" w:rsidRPr="00767049" w:rsidRDefault="00767049" w:rsidP="00767049">
      <w:pPr>
        <w:widowControl w:val="0"/>
        <w:ind w:firstLine="0"/>
        <w:jc w:val="both"/>
        <w:rPr>
          <w:rFonts w:eastAsia="Times New Roman"/>
          <w:lang w:eastAsia="lt-LT"/>
        </w:rPr>
      </w:pPr>
    </w:p>
    <w:p w:rsidR="00767049" w:rsidRPr="00767049" w:rsidRDefault="00767049" w:rsidP="00767049">
      <w:pPr>
        <w:widowControl w:val="0"/>
        <w:numPr>
          <w:ilvl w:val="0"/>
          <w:numId w:val="38"/>
        </w:numPr>
        <w:spacing w:line="360" w:lineRule="auto"/>
        <w:ind w:left="714" w:hanging="357"/>
        <w:jc w:val="both"/>
        <w:rPr>
          <w:rFonts w:eastAsia="Times New Roman"/>
          <w:b/>
          <w:bCs/>
        </w:rPr>
      </w:pPr>
      <w:r w:rsidRPr="00767049">
        <w:rPr>
          <w:rFonts w:eastAsia="Times New Roman"/>
          <w:b/>
          <w:bCs/>
        </w:rPr>
        <w:t>Kompetencijos, kurias norėtų tobulinti.</w:t>
      </w:r>
    </w:p>
    <w:tbl>
      <w:tblPr>
        <w:tblStyle w:val="Lentelstinklelis"/>
        <w:tblW w:w="0" w:type="auto"/>
        <w:tblInd w:w="-5" w:type="dxa"/>
        <w:tblLook w:val="04A0" w:firstRow="1" w:lastRow="0" w:firstColumn="1" w:lastColumn="0" w:noHBand="0" w:noVBand="1"/>
      </w:tblPr>
      <w:tblGrid>
        <w:gridCol w:w="9633"/>
      </w:tblGrid>
      <w:tr w:rsidR="00767049" w:rsidRPr="00767049" w:rsidTr="00F32576">
        <w:tc>
          <w:tcPr>
            <w:tcW w:w="9633" w:type="dxa"/>
            <w:vAlign w:val="center"/>
          </w:tcPr>
          <w:p w:rsidR="00767049" w:rsidRPr="00767049" w:rsidRDefault="00767049" w:rsidP="00767049">
            <w:pPr>
              <w:widowControl w:val="0"/>
              <w:ind w:firstLine="268"/>
              <w:jc w:val="both"/>
              <w:rPr>
                <w:rFonts w:eastAsia="Times New Roman"/>
                <w:bCs/>
                <w:lang w:eastAsia="lt-LT" w:bidi="lt-LT"/>
              </w:rPr>
            </w:pPr>
            <w:r w:rsidRPr="00767049">
              <w:rPr>
                <w:rFonts w:eastAsia="Times New Roman"/>
                <w:bCs/>
                <w:lang w:eastAsia="lt-LT" w:bidi="lt-LT"/>
              </w:rPr>
              <w:t>7.1. Vadovavimas ugdymui ir mokymuisi.</w:t>
            </w:r>
          </w:p>
        </w:tc>
      </w:tr>
      <w:tr w:rsidR="00767049" w:rsidRPr="00767049" w:rsidTr="00F32576">
        <w:tc>
          <w:tcPr>
            <w:tcW w:w="9633" w:type="dxa"/>
            <w:vAlign w:val="center"/>
          </w:tcPr>
          <w:p w:rsidR="00767049" w:rsidRPr="00767049" w:rsidRDefault="00767049" w:rsidP="00767049">
            <w:pPr>
              <w:widowControl w:val="0"/>
              <w:ind w:firstLine="268"/>
              <w:jc w:val="both"/>
              <w:rPr>
                <w:rFonts w:eastAsia="Times New Roman"/>
                <w:bCs/>
                <w:lang w:eastAsia="lt-LT" w:bidi="lt-LT"/>
              </w:rPr>
            </w:pPr>
            <w:r w:rsidRPr="00767049">
              <w:rPr>
                <w:rFonts w:eastAsia="Times New Roman"/>
                <w:bCs/>
                <w:lang w:eastAsia="lt-LT" w:bidi="lt-LT"/>
              </w:rPr>
              <w:t>7.2. Strateginio mąstymo ir pokyčių valdymo.</w:t>
            </w:r>
          </w:p>
        </w:tc>
      </w:tr>
    </w:tbl>
    <w:p w:rsidR="00767049" w:rsidRPr="00767049" w:rsidRDefault="00767049" w:rsidP="00767049">
      <w:pPr>
        <w:widowControl w:val="0"/>
        <w:spacing w:line="266" w:lineRule="exact"/>
        <w:ind w:firstLine="0"/>
        <w:contextualSpacing/>
        <w:jc w:val="center"/>
        <w:rPr>
          <w:rFonts w:eastAsia="Times New Roman"/>
          <w:b/>
          <w:bCs/>
          <w:lang w:eastAsia="lt-LT" w:bidi="lt-LT"/>
        </w:rPr>
      </w:pP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V SKYRIUS</w:t>
      </w: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2023 METŲ VEIKLOS UŽDUOTYS, REZULTATAI IR RODIKLIAI</w:t>
      </w:r>
    </w:p>
    <w:p w:rsidR="00767049" w:rsidRPr="00767049" w:rsidRDefault="00767049" w:rsidP="00767049">
      <w:pPr>
        <w:widowControl w:val="0"/>
        <w:numPr>
          <w:ilvl w:val="0"/>
          <w:numId w:val="38"/>
        </w:numPr>
        <w:spacing w:before="240" w:line="360" w:lineRule="auto"/>
        <w:ind w:left="714" w:hanging="357"/>
        <w:jc w:val="both"/>
        <w:rPr>
          <w:rFonts w:eastAsia="Times New Roman"/>
          <w:b/>
          <w:bCs/>
        </w:rPr>
      </w:pPr>
      <w:r w:rsidRPr="00767049">
        <w:rPr>
          <w:rFonts w:eastAsia="Times New Roman"/>
          <w:b/>
          <w:bCs/>
        </w:rPr>
        <w:t>2023 metų užduotys.</w:t>
      </w:r>
    </w:p>
    <w:tbl>
      <w:tblPr>
        <w:tblStyle w:val="Lentelstinklelis"/>
        <w:tblW w:w="0" w:type="auto"/>
        <w:tblInd w:w="-5" w:type="dxa"/>
        <w:tblLook w:val="04A0" w:firstRow="1" w:lastRow="0" w:firstColumn="1" w:lastColumn="0" w:noHBand="0" w:noVBand="1"/>
      </w:tblPr>
      <w:tblGrid>
        <w:gridCol w:w="2410"/>
        <w:gridCol w:w="3304"/>
        <w:gridCol w:w="3784"/>
      </w:tblGrid>
      <w:tr w:rsidR="00767049" w:rsidRPr="00767049" w:rsidTr="00F32576">
        <w:tc>
          <w:tcPr>
            <w:tcW w:w="2410" w:type="dxa"/>
            <w:vAlign w:val="center"/>
          </w:tcPr>
          <w:p w:rsidR="00767049" w:rsidRPr="00767049" w:rsidRDefault="00767049" w:rsidP="00767049">
            <w:pPr>
              <w:ind w:firstLine="0"/>
              <w:contextualSpacing/>
              <w:jc w:val="center"/>
            </w:pPr>
            <w:r w:rsidRPr="00767049">
              <w:t>Užduotys</w:t>
            </w:r>
          </w:p>
        </w:tc>
        <w:tc>
          <w:tcPr>
            <w:tcW w:w="3304" w:type="dxa"/>
            <w:vAlign w:val="center"/>
          </w:tcPr>
          <w:p w:rsidR="00767049" w:rsidRPr="00767049" w:rsidRDefault="00767049" w:rsidP="00767049">
            <w:pPr>
              <w:ind w:firstLine="0"/>
              <w:contextualSpacing/>
              <w:jc w:val="center"/>
            </w:pPr>
            <w:r w:rsidRPr="00767049">
              <w:t>Siektini rezultatai</w:t>
            </w:r>
          </w:p>
        </w:tc>
        <w:tc>
          <w:tcPr>
            <w:tcW w:w="3784" w:type="dxa"/>
            <w:vAlign w:val="center"/>
          </w:tcPr>
          <w:p w:rsidR="00767049" w:rsidRPr="00767049" w:rsidRDefault="00767049" w:rsidP="00767049">
            <w:pPr>
              <w:ind w:firstLine="0"/>
              <w:contextualSpacing/>
              <w:jc w:val="center"/>
            </w:pPr>
            <w:r w:rsidRPr="00767049">
              <w:rPr>
                <w:rFonts w:eastAsia="Courier New"/>
                <w:sz w:val="22"/>
                <w:lang w:eastAsia="lt-LT" w:bidi="lt-LT"/>
              </w:rPr>
              <w:t>Rezultatų vertinimo rodikliai (kuriais vadovaujantis vertinama, ar nustatytos užduotys įvykdytos)</w:t>
            </w:r>
          </w:p>
        </w:tc>
      </w:tr>
      <w:tr w:rsidR="00767049" w:rsidRPr="00767049" w:rsidTr="00F32576">
        <w:tc>
          <w:tcPr>
            <w:tcW w:w="2410" w:type="dxa"/>
          </w:tcPr>
          <w:p w:rsidR="00767049" w:rsidRPr="00767049" w:rsidRDefault="00767049" w:rsidP="00767049">
            <w:pPr>
              <w:widowControl w:val="0"/>
              <w:ind w:firstLine="0"/>
              <w:jc w:val="both"/>
              <w:rPr>
                <w:b/>
              </w:rPr>
            </w:pPr>
          </w:p>
        </w:tc>
        <w:tc>
          <w:tcPr>
            <w:tcW w:w="3304" w:type="dxa"/>
          </w:tcPr>
          <w:p w:rsidR="00767049" w:rsidRPr="00767049" w:rsidRDefault="00767049" w:rsidP="00767049">
            <w:pPr>
              <w:widowControl w:val="0"/>
              <w:ind w:firstLine="0"/>
              <w:jc w:val="both"/>
            </w:pPr>
          </w:p>
        </w:tc>
        <w:tc>
          <w:tcPr>
            <w:tcW w:w="3784" w:type="dxa"/>
          </w:tcPr>
          <w:p w:rsidR="00767049" w:rsidRPr="00767049" w:rsidRDefault="00767049" w:rsidP="00767049">
            <w:pPr>
              <w:ind w:firstLine="0"/>
              <w:jc w:val="both"/>
              <w:rPr>
                <w:shd w:val="clear" w:color="auto" w:fill="FFFFFF"/>
              </w:rPr>
            </w:pPr>
          </w:p>
        </w:tc>
      </w:tr>
      <w:tr w:rsidR="00767049" w:rsidRPr="00767049" w:rsidTr="00F32576">
        <w:trPr>
          <w:trHeight w:val="1974"/>
        </w:trPr>
        <w:tc>
          <w:tcPr>
            <w:tcW w:w="2410" w:type="dxa"/>
          </w:tcPr>
          <w:p w:rsidR="00767049" w:rsidRPr="00767049" w:rsidRDefault="00767049" w:rsidP="00767049">
            <w:pPr>
              <w:widowControl w:val="0"/>
              <w:ind w:firstLine="0"/>
              <w:jc w:val="both"/>
            </w:pPr>
          </w:p>
        </w:tc>
        <w:tc>
          <w:tcPr>
            <w:tcW w:w="3304" w:type="dxa"/>
          </w:tcPr>
          <w:p w:rsidR="00767049" w:rsidRPr="00767049" w:rsidRDefault="00767049" w:rsidP="00767049">
            <w:pPr>
              <w:widowControl w:val="0"/>
              <w:ind w:firstLine="0"/>
              <w:jc w:val="both"/>
            </w:pPr>
          </w:p>
        </w:tc>
        <w:tc>
          <w:tcPr>
            <w:tcW w:w="3784" w:type="dxa"/>
          </w:tcPr>
          <w:p w:rsidR="00767049" w:rsidRPr="00767049" w:rsidRDefault="00767049" w:rsidP="00767049">
            <w:pPr>
              <w:widowControl w:val="0"/>
              <w:ind w:firstLine="0"/>
              <w:jc w:val="both"/>
            </w:pPr>
          </w:p>
        </w:tc>
      </w:tr>
      <w:tr w:rsidR="00767049" w:rsidRPr="00767049" w:rsidTr="00F32576">
        <w:tc>
          <w:tcPr>
            <w:tcW w:w="2410" w:type="dxa"/>
          </w:tcPr>
          <w:p w:rsidR="00767049" w:rsidRPr="00767049" w:rsidRDefault="00767049" w:rsidP="00767049">
            <w:pPr>
              <w:widowControl w:val="0"/>
              <w:ind w:firstLine="0"/>
              <w:jc w:val="both"/>
              <w:rPr>
                <w:b/>
              </w:rPr>
            </w:pPr>
          </w:p>
        </w:tc>
        <w:tc>
          <w:tcPr>
            <w:tcW w:w="3304" w:type="dxa"/>
          </w:tcPr>
          <w:p w:rsidR="00767049" w:rsidRPr="00767049" w:rsidRDefault="00767049" w:rsidP="00767049">
            <w:pPr>
              <w:ind w:firstLine="0"/>
              <w:jc w:val="both"/>
            </w:pPr>
          </w:p>
        </w:tc>
        <w:tc>
          <w:tcPr>
            <w:tcW w:w="3784" w:type="dxa"/>
          </w:tcPr>
          <w:p w:rsidR="00767049" w:rsidRPr="00767049" w:rsidRDefault="00767049" w:rsidP="00767049">
            <w:pPr>
              <w:ind w:firstLine="0"/>
              <w:jc w:val="both"/>
            </w:pPr>
          </w:p>
        </w:tc>
      </w:tr>
    </w:tbl>
    <w:p w:rsidR="00767049" w:rsidRPr="00767049" w:rsidRDefault="00767049" w:rsidP="00767049">
      <w:pPr>
        <w:ind w:firstLine="0"/>
        <w:rPr>
          <w:lang w:eastAsia="lt-LT"/>
        </w:rPr>
      </w:pPr>
    </w:p>
    <w:p w:rsidR="00767049" w:rsidRPr="00767049" w:rsidRDefault="00767049" w:rsidP="00767049">
      <w:pPr>
        <w:widowControl w:val="0"/>
        <w:numPr>
          <w:ilvl w:val="0"/>
          <w:numId w:val="38"/>
        </w:numPr>
        <w:spacing w:before="240" w:line="360" w:lineRule="auto"/>
        <w:ind w:left="714" w:hanging="357"/>
        <w:jc w:val="both"/>
        <w:rPr>
          <w:rFonts w:eastAsia="Times New Roman"/>
          <w:b/>
          <w:bCs/>
        </w:rPr>
      </w:pPr>
      <w:r w:rsidRPr="00767049">
        <w:rPr>
          <w:rFonts w:eastAsia="Times New Roman"/>
          <w:b/>
          <w:bCs/>
        </w:rPr>
        <w:t>Rizika, kuriai esant nustatytos užduotys gali būti neįvykdytos (aplinkybės, kurios gali turėti neigiamos įtakos įvykdyti šias užduotis).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67049" w:rsidRPr="00767049" w:rsidTr="00F32576">
        <w:tc>
          <w:tcPr>
            <w:tcW w:w="9498" w:type="dxa"/>
            <w:tcBorders>
              <w:top w:val="single" w:sz="4" w:space="0" w:color="auto"/>
              <w:left w:val="single" w:sz="4" w:space="0" w:color="auto"/>
              <w:bottom w:val="single" w:sz="4" w:space="0" w:color="auto"/>
              <w:right w:val="single" w:sz="4" w:space="0" w:color="auto"/>
            </w:tcBorders>
            <w:hideMark/>
          </w:tcPr>
          <w:p w:rsidR="00767049" w:rsidRPr="00767049" w:rsidRDefault="00767049" w:rsidP="00767049">
            <w:pPr>
              <w:widowControl w:val="0"/>
              <w:ind w:firstLine="176"/>
              <w:jc w:val="both"/>
              <w:rPr>
                <w:lang w:eastAsia="lt-LT"/>
              </w:rPr>
            </w:pPr>
            <w:r w:rsidRPr="00767049">
              <w:rPr>
                <w:lang w:eastAsia="lt-LT"/>
              </w:rPr>
              <w:t xml:space="preserve">13.1. </w:t>
            </w:r>
            <w:r w:rsidRPr="00767049">
              <w:rPr>
                <w:rFonts w:eastAsia="Times New Roman"/>
                <w:lang w:eastAsia="lt-LT" w:bidi="lt-LT"/>
              </w:rPr>
              <w:t>Ilgalaikis</w:t>
            </w:r>
            <w:r w:rsidRPr="00767049">
              <w:rPr>
                <w:lang w:eastAsia="lt-LT"/>
              </w:rPr>
              <w:t xml:space="preserve"> įstaigos vadovo nedarbingumas.</w:t>
            </w:r>
          </w:p>
        </w:tc>
      </w:tr>
      <w:tr w:rsidR="00767049" w:rsidRPr="00767049" w:rsidTr="00F32576">
        <w:tc>
          <w:tcPr>
            <w:tcW w:w="9498" w:type="dxa"/>
            <w:tcBorders>
              <w:top w:val="single" w:sz="4" w:space="0" w:color="auto"/>
              <w:left w:val="single" w:sz="4" w:space="0" w:color="auto"/>
              <w:bottom w:val="single" w:sz="4" w:space="0" w:color="auto"/>
              <w:right w:val="single" w:sz="4" w:space="0" w:color="auto"/>
            </w:tcBorders>
            <w:hideMark/>
          </w:tcPr>
          <w:p w:rsidR="00767049" w:rsidRPr="00767049" w:rsidRDefault="00767049" w:rsidP="00767049">
            <w:pPr>
              <w:widowControl w:val="0"/>
              <w:ind w:firstLine="176"/>
              <w:jc w:val="both"/>
              <w:rPr>
                <w:lang w:eastAsia="lt-LT"/>
              </w:rPr>
            </w:pPr>
            <w:r w:rsidRPr="00767049">
              <w:rPr>
                <w:lang w:eastAsia="lt-LT"/>
              </w:rPr>
              <w:t xml:space="preserve">13.2. </w:t>
            </w:r>
            <w:r w:rsidRPr="00767049">
              <w:rPr>
                <w:rFonts w:eastAsia="Times New Roman"/>
                <w:lang w:eastAsia="lt-LT" w:bidi="lt-LT"/>
              </w:rPr>
              <w:t>Metų</w:t>
            </w:r>
            <w:r w:rsidRPr="00767049">
              <w:rPr>
                <w:lang w:eastAsia="lt-LT"/>
              </w:rPr>
              <w:t xml:space="preserve"> eigoje ženkliai sumažintas finansavimas.</w:t>
            </w:r>
          </w:p>
        </w:tc>
      </w:tr>
    </w:tbl>
    <w:p w:rsidR="00767049" w:rsidRPr="00767049" w:rsidRDefault="00767049" w:rsidP="00767049">
      <w:pPr>
        <w:widowControl w:val="0"/>
        <w:spacing w:line="266" w:lineRule="exact"/>
        <w:ind w:firstLine="0"/>
        <w:contextualSpacing/>
        <w:jc w:val="center"/>
        <w:rPr>
          <w:rFonts w:eastAsia="Times New Roman"/>
          <w:b/>
          <w:bCs/>
          <w:lang w:eastAsia="lt-LT" w:bidi="lt-LT"/>
        </w:rPr>
      </w:pP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VI SKYRIUS</w:t>
      </w:r>
    </w:p>
    <w:p w:rsidR="00767049" w:rsidRPr="00767049" w:rsidRDefault="00767049" w:rsidP="00767049">
      <w:pPr>
        <w:widowControl w:val="0"/>
        <w:spacing w:line="266" w:lineRule="exact"/>
        <w:ind w:firstLine="0"/>
        <w:contextualSpacing/>
        <w:jc w:val="center"/>
        <w:rPr>
          <w:rFonts w:eastAsia="Times New Roman"/>
          <w:b/>
          <w:bCs/>
          <w:lang w:eastAsia="lt-LT" w:bidi="lt-LT"/>
        </w:rPr>
      </w:pPr>
      <w:r w:rsidRPr="00767049">
        <w:rPr>
          <w:rFonts w:eastAsia="Times New Roman"/>
          <w:b/>
          <w:bCs/>
          <w:lang w:eastAsia="lt-LT" w:bidi="lt-LT"/>
        </w:rPr>
        <w:t>VERTINIMO PAGRINDIMAS IR SIŪLYMAI</w:t>
      </w:r>
    </w:p>
    <w:p w:rsidR="00767049" w:rsidRPr="00767049" w:rsidRDefault="00767049" w:rsidP="00767049">
      <w:pPr>
        <w:widowControl w:val="0"/>
        <w:numPr>
          <w:ilvl w:val="0"/>
          <w:numId w:val="38"/>
        </w:numPr>
        <w:spacing w:before="240" w:line="360" w:lineRule="auto"/>
        <w:ind w:left="714" w:hanging="357"/>
        <w:jc w:val="both"/>
        <w:rPr>
          <w:rFonts w:eastAsia="Times New Roman"/>
          <w:bCs/>
        </w:rPr>
      </w:pPr>
      <w:r w:rsidRPr="00767049">
        <w:rPr>
          <w:rFonts w:eastAsia="Times New Roman"/>
          <w:b/>
          <w:bCs/>
        </w:rPr>
        <w:t>Įvertinimas, jo pagrindimas ir siūlymai:</w:t>
      </w:r>
    </w:p>
    <w:p w:rsidR="00767049" w:rsidRPr="00767049" w:rsidRDefault="00767049" w:rsidP="00767049">
      <w:pPr>
        <w:widowControl w:val="0"/>
        <w:ind w:left="714" w:firstLine="0"/>
        <w:jc w:val="both"/>
        <w:rPr>
          <w:rFonts w:eastAsia="Times New Roman"/>
          <w:bCs/>
        </w:rPr>
      </w:pPr>
    </w:p>
    <w:p w:rsidR="00767049" w:rsidRPr="00767049" w:rsidRDefault="00767049" w:rsidP="00767049">
      <w:pPr>
        <w:widowControl w:val="0"/>
        <w:ind w:left="714" w:firstLine="0"/>
        <w:jc w:val="both"/>
        <w:rPr>
          <w:rFonts w:eastAsia="Times New Roman"/>
          <w:b/>
          <w:bCs/>
          <w:lang w:eastAsia="lt-LT" w:bidi="lt-LT"/>
        </w:rPr>
      </w:pPr>
    </w:p>
    <w:p w:rsidR="00767049" w:rsidRPr="00767049" w:rsidRDefault="00767049" w:rsidP="00767049">
      <w:pPr>
        <w:widowControl w:val="0"/>
        <w:tabs>
          <w:tab w:val="left" w:pos="4111"/>
          <w:tab w:val="left" w:leader="dot" w:pos="6237"/>
          <w:tab w:val="left" w:pos="6521"/>
        </w:tabs>
        <w:ind w:firstLine="0"/>
        <w:rPr>
          <w:rFonts w:eastAsia="Times New Roman"/>
          <w:bCs/>
          <w:lang w:eastAsia="lt-LT" w:bidi="lt-LT"/>
        </w:rPr>
      </w:pPr>
      <w:r w:rsidRPr="00767049">
        <w:rPr>
          <w:rFonts w:eastAsia="Times New Roman"/>
          <w:bCs/>
          <w:lang w:eastAsia="lt-LT" w:bidi="lt-LT"/>
        </w:rPr>
        <w:t>Lopšelio-darželio „Vaidilutė“ pirmininkė</w:t>
      </w:r>
      <w:r w:rsidRPr="00767049">
        <w:rPr>
          <w:rFonts w:eastAsia="Times New Roman"/>
          <w:bCs/>
          <w:lang w:eastAsia="lt-LT" w:bidi="lt-LT"/>
        </w:rPr>
        <w:tab/>
      </w:r>
      <w:r w:rsidRPr="00767049">
        <w:rPr>
          <w:rFonts w:eastAsia="Times New Roman"/>
          <w:bCs/>
          <w:lang w:eastAsia="lt-LT" w:bidi="lt-LT"/>
        </w:rPr>
        <w:tab/>
      </w:r>
      <w:r w:rsidRPr="00767049">
        <w:rPr>
          <w:rFonts w:eastAsia="Times New Roman"/>
          <w:bCs/>
          <w:lang w:eastAsia="lt-LT" w:bidi="lt-LT"/>
        </w:rPr>
        <w:tab/>
        <w:t>Milda Tamulienė 2023-</w:t>
      </w:r>
    </w:p>
    <w:p w:rsidR="00767049" w:rsidRPr="00767049" w:rsidRDefault="00767049" w:rsidP="00767049">
      <w:pPr>
        <w:tabs>
          <w:tab w:val="center" w:pos="4962"/>
        </w:tabs>
        <w:rPr>
          <w:i/>
          <w:iCs/>
          <w:sz w:val="22"/>
          <w:szCs w:val="22"/>
        </w:rPr>
      </w:pPr>
      <w:r w:rsidRPr="00767049">
        <w:rPr>
          <w:i/>
          <w:iCs/>
          <w:sz w:val="18"/>
          <w:szCs w:val="22"/>
        </w:rPr>
        <w:tab/>
        <w:t>(parašas)</w:t>
      </w:r>
    </w:p>
    <w:p w:rsidR="00767049" w:rsidRPr="00767049" w:rsidRDefault="00767049" w:rsidP="00767049">
      <w:pPr>
        <w:widowControl w:val="0"/>
        <w:tabs>
          <w:tab w:val="left" w:pos="469"/>
          <w:tab w:val="left" w:leader="underscore" w:pos="7258"/>
        </w:tabs>
        <w:ind w:firstLine="0"/>
        <w:rPr>
          <w:rFonts w:eastAsia="Times New Roman"/>
          <w:sz w:val="20"/>
          <w:szCs w:val="20"/>
          <w:lang w:eastAsia="lt-LT" w:bidi="lt-LT"/>
        </w:rPr>
      </w:pPr>
    </w:p>
    <w:p w:rsidR="00767049" w:rsidRPr="00767049" w:rsidRDefault="00767049" w:rsidP="00767049">
      <w:pPr>
        <w:widowControl w:val="0"/>
        <w:numPr>
          <w:ilvl w:val="0"/>
          <w:numId w:val="38"/>
        </w:numPr>
        <w:spacing w:before="240" w:line="360" w:lineRule="auto"/>
        <w:ind w:left="714" w:hanging="357"/>
        <w:jc w:val="both"/>
        <w:rPr>
          <w:rFonts w:eastAsia="Times New Roman"/>
          <w:b/>
          <w:bCs/>
        </w:rPr>
      </w:pPr>
      <w:r w:rsidRPr="00767049">
        <w:rPr>
          <w:rFonts w:eastAsia="Times New Roman"/>
          <w:b/>
          <w:bCs/>
        </w:rPr>
        <w:t>Įvertinimas, jo pagrindimas ir siūlymai:</w:t>
      </w:r>
    </w:p>
    <w:p w:rsidR="00767049" w:rsidRPr="00767049" w:rsidRDefault="00767049" w:rsidP="00767049">
      <w:pPr>
        <w:widowControl w:val="0"/>
        <w:ind w:firstLine="0"/>
        <w:jc w:val="both"/>
        <w:rPr>
          <w:rFonts w:eastAsia="Times New Roman"/>
          <w:lang w:eastAsia="lt-LT"/>
        </w:rPr>
      </w:pPr>
    </w:p>
    <w:p w:rsidR="00767049" w:rsidRPr="00767049" w:rsidRDefault="00767049" w:rsidP="00767049">
      <w:pPr>
        <w:widowControl w:val="0"/>
        <w:ind w:firstLine="0"/>
        <w:jc w:val="both"/>
        <w:rPr>
          <w:rFonts w:eastAsia="Times New Roman"/>
          <w:bCs/>
        </w:rPr>
      </w:pPr>
    </w:p>
    <w:p w:rsidR="00767049" w:rsidRPr="00767049" w:rsidRDefault="00767049" w:rsidP="00767049">
      <w:pPr>
        <w:widowControl w:val="0"/>
        <w:tabs>
          <w:tab w:val="left" w:pos="3544"/>
          <w:tab w:val="left" w:leader="dot" w:pos="6096"/>
          <w:tab w:val="left" w:pos="6521"/>
        </w:tabs>
        <w:ind w:firstLine="0"/>
        <w:rPr>
          <w:rFonts w:eastAsia="Times New Roman"/>
          <w:bCs/>
          <w:lang w:eastAsia="lt-LT" w:bidi="lt-LT"/>
        </w:rPr>
      </w:pPr>
      <w:r w:rsidRPr="00767049">
        <w:rPr>
          <w:rFonts w:eastAsia="Times New Roman"/>
          <w:bCs/>
          <w:lang w:eastAsia="lt-LT" w:bidi="lt-LT"/>
        </w:rPr>
        <w:t xml:space="preserve">Švietimo skyriaus vedėja                   </w:t>
      </w:r>
      <w:r w:rsidRPr="00767049">
        <w:rPr>
          <w:rFonts w:eastAsia="Times New Roman"/>
          <w:bCs/>
          <w:lang w:eastAsia="lt-LT" w:bidi="lt-LT"/>
        </w:rPr>
        <w:tab/>
        <w:t>Ona Gucevičienė 2023-02-14</w:t>
      </w:r>
    </w:p>
    <w:p w:rsidR="00767049" w:rsidRPr="00767049" w:rsidRDefault="00767049" w:rsidP="00767049">
      <w:pPr>
        <w:tabs>
          <w:tab w:val="center" w:pos="4962"/>
        </w:tabs>
        <w:rPr>
          <w:i/>
          <w:iCs/>
          <w:sz w:val="22"/>
          <w:szCs w:val="22"/>
        </w:rPr>
      </w:pPr>
      <w:r w:rsidRPr="00767049">
        <w:rPr>
          <w:i/>
          <w:iCs/>
          <w:sz w:val="18"/>
          <w:szCs w:val="22"/>
        </w:rPr>
        <w:tab/>
        <w:t>(parašas)</w:t>
      </w:r>
    </w:p>
    <w:p w:rsidR="00767049" w:rsidRPr="00767049" w:rsidRDefault="00767049" w:rsidP="00767049">
      <w:pPr>
        <w:tabs>
          <w:tab w:val="right" w:leader="underscore" w:pos="9071"/>
        </w:tabs>
        <w:ind w:firstLine="0"/>
        <w:jc w:val="both"/>
        <w:rPr>
          <w:rFonts w:eastAsia="Times New Roman"/>
          <w:lang w:eastAsia="lt-LT"/>
        </w:rPr>
      </w:pPr>
    </w:p>
    <w:p w:rsidR="00767049" w:rsidRPr="00767049" w:rsidRDefault="00767049" w:rsidP="00767049">
      <w:pPr>
        <w:tabs>
          <w:tab w:val="right" w:leader="underscore" w:pos="9071"/>
        </w:tabs>
        <w:ind w:firstLine="0"/>
        <w:jc w:val="both"/>
        <w:rPr>
          <w:rFonts w:eastAsia="Times New Roman"/>
          <w:lang w:eastAsia="lt-LT"/>
        </w:rPr>
      </w:pPr>
    </w:p>
    <w:p w:rsidR="00767049" w:rsidRPr="00767049" w:rsidRDefault="00767049" w:rsidP="00767049">
      <w:pPr>
        <w:widowControl w:val="0"/>
        <w:tabs>
          <w:tab w:val="left" w:pos="3544"/>
          <w:tab w:val="left" w:leader="dot" w:pos="6096"/>
          <w:tab w:val="left" w:pos="6521"/>
        </w:tabs>
        <w:ind w:firstLine="0"/>
        <w:rPr>
          <w:rFonts w:eastAsia="Times New Roman"/>
          <w:bCs/>
          <w:lang w:eastAsia="lt-LT" w:bidi="lt-LT"/>
        </w:rPr>
      </w:pPr>
      <w:r w:rsidRPr="00767049">
        <w:rPr>
          <w:rFonts w:eastAsia="Times New Roman"/>
          <w:bCs/>
          <w:lang w:eastAsia="lt-LT" w:bidi="lt-LT"/>
        </w:rPr>
        <w:lastRenderedPageBreak/>
        <w:t>Kauno miesto savivaldybės meras</w:t>
      </w:r>
      <w:r w:rsidRPr="00767049">
        <w:rPr>
          <w:rFonts w:eastAsia="Times New Roman"/>
          <w:bCs/>
          <w:lang w:eastAsia="lt-LT" w:bidi="lt-LT"/>
        </w:rPr>
        <w:tab/>
      </w:r>
      <w:r w:rsidRPr="00767049">
        <w:rPr>
          <w:rFonts w:eastAsia="Times New Roman"/>
          <w:bCs/>
          <w:lang w:eastAsia="lt-LT" w:bidi="lt-LT"/>
        </w:rPr>
        <w:tab/>
        <w:t>Visvaldas Matijošaitis 2023-02-15</w:t>
      </w:r>
    </w:p>
    <w:p w:rsidR="00FB5FF3" w:rsidRDefault="00FB5FF3"/>
    <w:sectPr w:rsidR="00FB5FF3" w:rsidSect="002D5C0D">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900"/>
    <w:multiLevelType w:val="hybridMultilevel"/>
    <w:tmpl w:val="82441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1C4D99"/>
    <w:multiLevelType w:val="hybridMultilevel"/>
    <w:tmpl w:val="575857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A437C0"/>
    <w:multiLevelType w:val="multilevel"/>
    <w:tmpl w:val="C186E6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7A12"/>
    <w:multiLevelType w:val="multilevel"/>
    <w:tmpl w:val="06D0B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304E3F"/>
    <w:multiLevelType w:val="hybridMultilevel"/>
    <w:tmpl w:val="F7005892"/>
    <w:lvl w:ilvl="0" w:tplc="84AA1410">
      <w:start w:val="4"/>
      <w:numFmt w:val="upperRoman"/>
      <w:lvlText w:val="%1."/>
      <w:lvlJc w:val="left"/>
      <w:pPr>
        <w:ind w:left="2687" w:hanging="720"/>
      </w:pPr>
      <w:rPr>
        <w:rFonts w:hint="default"/>
      </w:rPr>
    </w:lvl>
    <w:lvl w:ilvl="1" w:tplc="04270019" w:tentative="1">
      <w:start w:val="1"/>
      <w:numFmt w:val="lowerLetter"/>
      <w:lvlText w:val="%2."/>
      <w:lvlJc w:val="left"/>
      <w:pPr>
        <w:ind w:left="3047" w:hanging="360"/>
      </w:pPr>
    </w:lvl>
    <w:lvl w:ilvl="2" w:tplc="0427001B" w:tentative="1">
      <w:start w:val="1"/>
      <w:numFmt w:val="lowerRoman"/>
      <w:lvlText w:val="%3."/>
      <w:lvlJc w:val="right"/>
      <w:pPr>
        <w:ind w:left="3767" w:hanging="180"/>
      </w:pPr>
    </w:lvl>
    <w:lvl w:ilvl="3" w:tplc="0427000F" w:tentative="1">
      <w:start w:val="1"/>
      <w:numFmt w:val="decimal"/>
      <w:lvlText w:val="%4."/>
      <w:lvlJc w:val="left"/>
      <w:pPr>
        <w:ind w:left="4487" w:hanging="360"/>
      </w:pPr>
    </w:lvl>
    <w:lvl w:ilvl="4" w:tplc="04270019" w:tentative="1">
      <w:start w:val="1"/>
      <w:numFmt w:val="lowerLetter"/>
      <w:lvlText w:val="%5."/>
      <w:lvlJc w:val="left"/>
      <w:pPr>
        <w:ind w:left="5207" w:hanging="360"/>
      </w:pPr>
    </w:lvl>
    <w:lvl w:ilvl="5" w:tplc="0427001B" w:tentative="1">
      <w:start w:val="1"/>
      <w:numFmt w:val="lowerRoman"/>
      <w:lvlText w:val="%6."/>
      <w:lvlJc w:val="right"/>
      <w:pPr>
        <w:ind w:left="5927" w:hanging="180"/>
      </w:pPr>
    </w:lvl>
    <w:lvl w:ilvl="6" w:tplc="0427000F" w:tentative="1">
      <w:start w:val="1"/>
      <w:numFmt w:val="decimal"/>
      <w:lvlText w:val="%7."/>
      <w:lvlJc w:val="left"/>
      <w:pPr>
        <w:ind w:left="6647" w:hanging="360"/>
      </w:pPr>
    </w:lvl>
    <w:lvl w:ilvl="7" w:tplc="04270019" w:tentative="1">
      <w:start w:val="1"/>
      <w:numFmt w:val="lowerLetter"/>
      <w:lvlText w:val="%8."/>
      <w:lvlJc w:val="left"/>
      <w:pPr>
        <w:ind w:left="7367" w:hanging="360"/>
      </w:pPr>
    </w:lvl>
    <w:lvl w:ilvl="8" w:tplc="0427001B" w:tentative="1">
      <w:start w:val="1"/>
      <w:numFmt w:val="lowerRoman"/>
      <w:lvlText w:val="%9."/>
      <w:lvlJc w:val="right"/>
      <w:pPr>
        <w:ind w:left="8087" w:hanging="180"/>
      </w:pPr>
    </w:lvl>
  </w:abstractNum>
  <w:abstractNum w:abstractNumId="5" w15:restartNumberingAfterBreak="0">
    <w:nsid w:val="12921422"/>
    <w:multiLevelType w:val="hybridMultilevel"/>
    <w:tmpl w:val="584CC72A"/>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11681C"/>
    <w:multiLevelType w:val="hybridMultilevel"/>
    <w:tmpl w:val="DDEC2E8E"/>
    <w:lvl w:ilvl="0" w:tplc="0F7688F0">
      <w:start w:val="20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8275319"/>
    <w:multiLevelType w:val="multilevel"/>
    <w:tmpl w:val="603C5B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95697F"/>
    <w:multiLevelType w:val="hybridMultilevel"/>
    <w:tmpl w:val="B00C3EB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CBB6CBD"/>
    <w:multiLevelType w:val="hybridMultilevel"/>
    <w:tmpl w:val="5476B808"/>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D684313"/>
    <w:multiLevelType w:val="multilevel"/>
    <w:tmpl w:val="02B6631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84795E"/>
    <w:multiLevelType w:val="multilevel"/>
    <w:tmpl w:val="C186E6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CB6BC5"/>
    <w:multiLevelType w:val="hybridMultilevel"/>
    <w:tmpl w:val="B760974E"/>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2398483F"/>
    <w:multiLevelType w:val="hybridMultilevel"/>
    <w:tmpl w:val="4F62B5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80D2EA1"/>
    <w:multiLevelType w:val="hybridMultilevel"/>
    <w:tmpl w:val="F4C246C4"/>
    <w:lvl w:ilvl="0" w:tplc="D1261772">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5" w15:restartNumberingAfterBreak="0">
    <w:nsid w:val="2E4D7CD9"/>
    <w:multiLevelType w:val="multilevel"/>
    <w:tmpl w:val="C186E6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733A0A"/>
    <w:multiLevelType w:val="hybridMultilevel"/>
    <w:tmpl w:val="8BB083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10E2A1B"/>
    <w:multiLevelType w:val="hybridMultilevel"/>
    <w:tmpl w:val="804EBB02"/>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2E71063"/>
    <w:multiLevelType w:val="hybridMultilevel"/>
    <w:tmpl w:val="D8921484"/>
    <w:lvl w:ilvl="0" w:tplc="B4E0A106">
      <w:start w:val="2022"/>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5FA6E6E"/>
    <w:multiLevelType w:val="hybridMultilevel"/>
    <w:tmpl w:val="528087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6784A20"/>
    <w:multiLevelType w:val="multilevel"/>
    <w:tmpl w:val="075E0836"/>
    <w:lvl w:ilvl="0">
      <w:start w:val="7"/>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CE17E9"/>
    <w:multiLevelType w:val="hybridMultilevel"/>
    <w:tmpl w:val="53EA8D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287681F"/>
    <w:multiLevelType w:val="multilevel"/>
    <w:tmpl w:val="C186E6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DA5AF4"/>
    <w:multiLevelType w:val="hybridMultilevel"/>
    <w:tmpl w:val="29B8C39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4B05657"/>
    <w:multiLevelType w:val="multilevel"/>
    <w:tmpl w:val="C186E6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ED2212"/>
    <w:multiLevelType w:val="hybridMultilevel"/>
    <w:tmpl w:val="4ADEA4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FA70B59"/>
    <w:multiLevelType w:val="hybridMultilevel"/>
    <w:tmpl w:val="13029E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0BD1E16"/>
    <w:multiLevelType w:val="multilevel"/>
    <w:tmpl w:val="D18C662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lt-LT" w:eastAsia="lt-LT" w:bidi="lt-LT"/>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4C4FCC"/>
    <w:multiLevelType w:val="multilevel"/>
    <w:tmpl w:val="2BE206D2"/>
    <w:lvl w:ilvl="0">
      <w:start w:val="1"/>
      <w:numFmt w:val="decimal"/>
      <w:lvlText w:val="%1."/>
      <w:lvlJc w:val="left"/>
      <w:pPr>
        <w:ind w:left="1967" w:hanging="360"/>
      </w:pPr>
    </w:lvl>
    <w:lvl w:ilvl="1">
      <w:start w:val="2"/>
      <w:numFmt w:val="decimal"/>
      <w:isLgl/>
      <w:lvlText w:val="%1.%2."/>
      <w:lvlJc w:val="left"/>
      <w:pPr>
        <w:ind w:left="1967" w:hanging="360"/>
      </w:pPr>
      <w:rPr>
        <w:rFonts w:hint="default"/>
      </w:rPr>
    </w:lvl>
    <w:lvl w:ilvl="2">
      <w:start w:val="1"/>
      <w:numFmt w:val="decimal"/>
      <w:isLgl/>
      <w:lvlText w:val="%1.%2.%3."/>
      <w:lvlJc w:val="left"/>
      <w:pPr>
        <w:ind w:left="2327" w:hanging="720"/>
      </w:pPr>
      <w:rPr>
        <w:rFonts w:hint="default"/>
      </w:rPr>
    </w:lvl>
    <w:lvl w:ilvl="3">
      <w:start w:val="1"/>
      <w:numFmt w:val="decimal"/>
      <w:isLgl/>
      <w:lvlText w:val="%1.%2.%3.%4."/>
      <w:lvlJc w:val="left"/>
      <w:pPr>
        <w:ind w:left="2327" w:hanging="720"/>
      </w:pPr>
      <w:rPr>
        <w:rFonts w:hint="default"/>
      </w:rPr>
    </w:lvl>
    <w:lvl w:ilvl="4">
      <w:start w:val="1"/>
      <w:numFmt w:val="decimal"/>
      <w:isLgl/>
      <w:lvlText w:val="%1.%2.%3.%4.%5."/>
      <w:lvlJc w:val="left"/>
      <w:pPr>
        <w:ind w:left="2687" w:hanging="1080"/>
      </w:pPr>
      <w:rPr>
        <w:rFonts w:hint="default"/>
      </w:rPr>
    </w:lvl>
    <w:lvl w:ilvl="5">
      <w:start w:val="1"/>
      <w:numFmt w:val="decimal"/>
      <w:isLgl/>
      <w:lvlText w:val="%1.%2.%3.%4.%5.%6."/>
      <w:lvlJc w:val="left"/>
      <w:pPr>
        <w:ind w:left="2687" w:hanging="1080"/>
      </w:pPr>
      <w:rPr>
        <w:rFonts w:hint="default"/>
      </w:rPr>
    </w:lvl>
    <w:lvl w:ilvl="6">
      <w:start w:val="1"/>
      <w:numFmt w:val="decimal"/>
      <w:isLgl/>
      <w:lvlText w:val="%1.%2.%3.%4.%5.%6.%7."/>
      <w:lvlJc w:val="left"/>
      <w:pPr>
        <w:ind w:left="3047" w:hanging="1440"/>
      </w:pPr>
      <w:rPr>
        <w:rFonts w:hint="default"/>
      </w:rPr>
    </w:lvl>
    <w:lvl w:ilvl="7">
      <w:start w:val="1"/>
      <w:numFmt w:val="decimal"/>
      <w:isLgl/>
      <w:lvlText w:val="%1.%2.%3.%4.%5.%6.%7.%8."/>
      <w:lvlJc w:val="left"/>
      <w:pPr>
        <w:ind w:left="3047" w:hanging="1440"/>
      </w:pPr>
      <w:rPr>
        <w:rFonts w:hint="default"/>
      </w:rPr>
    </w:lvl>
    <w:lvl w:ilvl="8">
      <w:start w:val="1"/>
      <w:numFmt w:val="decimal"/>
      <w:isLgl/>
      <w:lvlText w:val="%1.%2.%3.%4.%5.%6.%7.%8.%9."/>
      <w:lvlJc w:val="left"/>
      <w:pPr>
        <w:ind w:left="3407" w:hanging="1800"/>
      </w:pPr>
      <w:rPr>
        <w:rFonts w:hint="default"/>
      </w:rPr>
    </w:lvl>
  </w:abstractNum>
  <w:abstractNum w:abstractNumId="29" w15:restartNumberingAfterBreak="0">
    <w:nsid w:val="54493492"/>
    <w:multiLevelType w:val="hybridMultilevel"/>
    <w:tmpl w:val="15A6CC5C"/>
    <w:lvl w:ilvl="0" w:tplc="851ADC32">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1887863"/>
    <w:multiLevelType w:val="hybridMultilevel"/>
    <w:tmpl w:val="87F648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30E4953"/>
    <w:multiLevelType w:val="hybridMultilevel"/>
    <w:tmpl w:val="67D275B4"/>
    <w:lvl w:ilvl="0" w:tplc="4CC8E56E">
      <w:start w:val="6"/>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32" w15:restartNumberingAfterBreak="0">
    <w:nsid w:val="658D121D"/>
    <w:multiLevelType w:val="hybridMultilevel"/>
    <w:tmpl w:val="16BC86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C9F57CB"/>
    <w:multiLevelType w:val="hybridMultilevel"/>
    <w:tmpl w:val="F73665E4"/>
    <w:lvl w:ilvl="0" w:tplc="04270005">
      <w:start w:val="1"/>
      <w:numFmt w:val="bullet"/>
      <w:lvlText w:val=""/>
      <w:lvlJc w:val="left"/>
      <w:pPr>
        <w:ind w:left="1967" w:hanging="360"/>
      </w:pPr>
      <w:rPr>
        <w:rFonts w:ascii="Wingdings" w:hAnsi="Wingdings" w:hint="default"/>
      </w:rPr>
    </w:lvl>
    <w:lvl w:ilvl="1" w:tplc="04270003" w:tentative="1">
      <w:start w:val="1"/>
      <w:numFmt w:val="bullet"/>
      <w:lvlText w:val="o"/>
      <w:lvlJc w:val="left"/>
      <w:pPr>
        <w:ind w:left="2687" w:hanging="360"/>
      </w:pPr>
      <w:rPr>
        <w:rFonts w:ascii="Courier New" w:hAnsi="Courier New" w:cs="Courier New" w:hint="default"/>
      </w:rPr>
    </w:lvl>
    <w:lvl w:ilvl="2" w:tplc="04270005" w:tentative="1">
      <w:start w:val="1"/>
      <w:numFmt w:val="bullet"/>
      <w:lvlText w:val=""/>
      <w:lvlJc w:val="left"/>
      <w:pPr>
        <w:ind w:left="3407" w:hanging="360"/>
      </w:pPr>
      <w:rPr>
        <w:rFonts w:ascii="Wingdings" w:hAnsi="Wingdings" w:hint="default"/>
      </w:rPr>
    </w:lvl>
    <w:lvl w:ilvl="3" w:tplc="04270001" w:tentative="1">
      <w:start w:val="1"/>
      <w:numFmt w:val="bullet"/>
      <w:lvlText w:val=""/>
      <w:lvlJc w:val="left"/>
      <w:pPr>
        <w:ind w:left="4127" w:hanging="360"/>
      </w:pPr>
      <w:rPr>
        <w:rFonts w:ascii="Symbol" w:hAnsi="Symbol" w:hint="default"/>
      </w:rPr>
    </w:lvl>
    <w:lvl w:ilvl="4" w:tplc="04270003" w:tentative="1">
      <w:start w:val="1"/>
      <w:numFmt w:val="bullet"/>
      <w:lvlText w:val="o"/>
      <w:lvlJc w:val="left"/>
      <w:pPr>
        <w:ind w:left="4847" w:hanging="360"/>
      </w:pPr>
      <w:rPr>
        <w:rFonts w:ascii="Courier New" w:hAnsi="Courier New" w:cs="Courier New" w:hint="default"/>
      </w:rPr>
    </w:lvl>
    <w:lvl w:ilvl="5" w:tplc="04270005" w:tentative="1">
      <w:start w:val="1"/>
      <w:numFmt w:val="bullet"/>
      <w:lvlText w:val=""/>
      <w:lvlJc w:val="left"/>
      <w:pPr>
        <w:ind w:left="5567" w:hanging="360"/>
      </w:pPr>
      <w:rPr>
        <w:rFonts w:ascii="Wingdings" w:hAnsi="Wingdings" w:hint="default"/>
      </w:rPr>
    </w:lvl>
    <w:lvl w:ilvl="6" w:tplc="04270001" w:tentative="1">
      <w:start w:val="1"/>
      <w:numFmt w:val="bullet"/>
      <w:lvlText w:val=""/>
      <w:lvlJc w:val="left"/>
      <w:pPr>
        <w:ind w:left="6287" w:hanging="360"/>
      </w:pPr>
      <w:rPr>
        <w:rFonts w:ascii="Symbol" w:hAnsi="Symbol" w:hint="default"/>
      </w:rPr>
    </w:lvl>
    <w:lvl w:ilvl="7" w:tplc="04270003" w:tentative="1">
      <w:start w:val="1"/>
      <w:numFmt w:val="bullet"/>
      <w:lvlText w:val="o"/>
      <w:lvlJc w:val="left"/>
      <w:pPr>
        <w:ind w:left="7007" w:hanging="360"/>
      </w:pPr>
      <w:rPr>
        <w:rFonts w:ascii="Courier New" w:hAnsi="Courier New" w:cs="Courier New" w:hint="default"/>
      </w:rPr>
    </w:lvl>
    <w:lvl w:ilvl="8" w:tplc="04270005" w:tentative="1">
      <w:start w:val="1"/>
      <w:numFmt w:val="bullet"/>
      <w:lvlText w:val=""/>
      <w:lvlJc w:val="left"/>
      <w:pPr>
        <w:ind w:left="7727" w:hanging="360"/>
      </w:pPr>
      <w:rPr>
        <w:rFonts w:ascii="Wingdings" w:hAnsi="Wingdings" w:hint="default"/>
      </w:rPr>
    </w:lvl>
  </w:abstractNum>
  <w:abstractNum w:abstractNumId="34" w15:restartNumberingAfterBreak="0">
    <w:nsid w:val="6FDE789C"/>
    <w:multiLevelType w:val="multilevel"/>
    <w:tmpl w:val="ACDC20F2"/>
    <w:lvl w:ilvl="0">
      <w:start w:val="1"/>
      <w:numFmt w:val="decimal"/>
      <w:lvlText w:val="%1."/>
      <w:lvlJc w:val="left"/>
      <w:pPr>
        <w:ind w:left="107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5" w15:restartNumberingAfterBreak="0">
    <w:nsid w:val="7B7879B1"/>
    <w:multiLevelType w:val="hybridMultilevel"/>
    <w:tmpl w:val="A2F06ECE"/>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C6D25F5"/>
    <w:multiLevelType w:val="hybridMultilevel"/>
    <w:tmpl w:val="02D4BB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D993CCA"/>
    <w:multiLevelType w:val="hybridMultilevel"/>
    <w:tmpl w:val="520E6072"/>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11"/>
  </w:num>
  <w:num w:numId="2">
    <w:abstractNumId w:val="24"/>
  </w:num>
  <w:num w:numId="3">
    <w:abstractNumId w:val="34"/>
  </w:num>
  <w:num w:numId="4">
    <w:abstractNumId w:val="22"/>
  </w:num>
  <w:num w:numId="5">
    <w:abstractNumId w:val="15"/>
  </w:num>
  <w:num w:numId="6">
    <w:abstractNumId w:val="9"/>
  </w:num>
  <w:num w:numId="7">
    <w:abstractNumId w:val="2"/>
  </w:num>
  <w:num w:numId="8">
    <w:abstractNumId w:val="4"/>
  </w:num>
  <w:num w:numId="9">
    <w:abstractNumId w:val="29"/>
  </w:num>
  <w:num w:numId="10">
    <w:abstractNumId w:val="25"/>
  </w:num>
  <w:num w:numId="11">
    <w:abstractNumId w:val="36"/>
  </w:num>
  <w:num w:numId="12">
    <w:abstractNumId w:val="13"/>
  </w:num>
  <w:num w:numId="13">
    <w:abstractNumId w:val="32"/>
  </w:num>
  <w:num w:numId="14">
    <w:abstractNumId w:val="26"/>
  </w:num>
  <w:num w:numId="15">
    <w:abstractNumId w:val="21"/>
  </w:num>
  <w:num w:numId="16">
    <w:abstractNumId w:val="1"/>
  </w:num>
  <w:num w:numId="17">
    <w:abstractNumId w:val="30"/>
  </w:num>
  <w:num w:numId="18">
    <w:abstractNumId w:val="19"/>
  </w:num>
  <w:num w:numId="19">
    <w:abstractNumId w:val="16"/>
  </w:num>
  <w:num w:numId="20">
    <w:abstractNumId w:val="37"/>
  </w:num>
  <w:num w:numId="21">
    <w:abstractNumId w:val="28"/>
  </w:num>
  <w:num w:numId="22">
    <w:abstractNumId w:val="7"/>
  </w:num>
  <w:num w:numId="23">
    <w:abstractNumId w:val="27"/>
  </w:num>
  <w:num w:numId="24">
    <w:abstractNumId w:val="20"/>
  </w:num>
  <w:num w:numId="25">
    <w:abstractNumId w:val="10"/>
  </w:num>
  <w:num w:numId="26">
    <w:abstractNumId w:val="5"/>
  </w:num>
  <w:num w:numId="27">
    <w:abstractNumId w:val="33"/>
  </w:num>
  <w:num w:numId="28">
    <w:abstractNumId w:val="0"/>
  </w:num>
  <w:num w:numId="29">
    <w:abstractNumId w:val="31"/>
  </w:num>
  <w:num w:numId="30">
    <w:abstractNumId w:val="35"/>
  </w:num>
  <w:num w:numId="31">
    <w:abstractNumId w:val="12"/>
  </w:num>
  <w:num w:numId="32">
    <w:abstractNumId w:val="14"/>
  </w:num>
  <w:num w:numId="33">
    <w:abstractNumId w:val="6"/>
  </w:num>
  <w:num w:numId="34">
    <w:abstractNumId w:val="8"/>
  </w:num>
  <w:num w:numId="35">
    <w:abstractNumId w:val="17"/>
  </w:num>
  <w:num w:numId="36">
    <w:abstractNumId w:val="23"/>
  </w:num>
  <w:num w:numId="37">
    <w:abstractNumId w:val="1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49"/>
    <w:rsid w:val="002D5C0D"/>
    <w:rsid w:val="003206E0"/>
    <w:rsid w:val="00767049"/>
    <w:rsid w:val="007E4E9F"/>
    <w:rsid w:val="00E824CD"/>
    <w:rsid w:val="00FB5FF3"/>
    <w:rsid w:val="00FC22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E2A7C-6B69-40F1-BA75-6C997D18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7670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67049"/>
    <w:rPr>
      <w:rFonts w:asciiTheme="majorHAnsi" w:eastAsiaTheme="majorEastAsia" w:hAnsiTheme="majorHAnsi" w:cstheme="majorBidi"/>
      <w:color w:val="2E74B5" w:themeColor="accent1" w:themeShade="BF"/>
      <w:sz w:val="32"/>
      <w:szCs w:val="32"/>
    </w:rPr>
  </w:style>
  <w:style w:type="numbering" w:customStyle="1" w:styleId="Sraonra1">
    <w:name w:val="Sąrašo nėra1"/>
    <w:next w:val="Sraonra"/>
    <w:uiPriority w:val="99"/>
    <w:semiHidden/>
    <w:unhideWhenUsed/>
    <w:rsid w:val="00767049"/>
  </w:style>
  <w:style w:type="numbering" w:customStyle="1" w:styleId="Sraonra11">
    <w:name w:val="Sąrašo nėra11"/>
    <w:next w:val="Sraonra"/>
    <w:uiPriority w:val="99"/>
    <w:semiHidden/>
    <w:unhideWhenUsed/>
    <w:rsid w:val="00767049"/>
  </w:style>
  <w:style w:type="character" w:customStyle="1" w:styleId="2">
    <w:name w:val="Основной текст (2)_"/>
    <w:basedOn w:val="Numatytasispastraiposriftas"/>
    <w:link w:val="20"/>
    <w:rsid w:val="00767049"/>
    <w:rPr>
      <w:rFonts w:eastAsia="Times New Roman"/>
      <w:shd w:val="clear" w:color="auto" w:fill="FFFFFF"/>
    </w:rPr>
  </w:style>
  <w:style w:type="paragraph" w:customStyle="1" w:styleId="20">
    <w:name w:val="Основной текст (2)"/>
    <w:basedOn w:val="prastasis"/>
    <w:link w:val="2"/>
    <w:rsid w:val="00767049"/>
    <w:pPr>
      <w:widowControl w:val="0"/>
      <w:shd w:val="clear" w:color="auto" w:fill="FFFFFF"/>
      <w:spacing w:after="600" w:line="413" w:lineRule="exact"/>
      <w:ind w:hanging="360"/>
    </w:pPr>
    <w:rPr>
      <w:rFonts w:eastAsia="Times New Roman"/>
    </w:rPr>
  </w:style>
  <w:style w:type="character" w:customStyle="1" w:styleId="a">
    <w:name w:val="Подпись к таблице_"/>
    <w:basedOn w:val="Numatytasispastraiposriftas"/>
    <w:link w:val="a0"/>
    <w:rsid w:val="00767049"/>
    <w:rPr>
      <w:rFonts w:eastAsia="Times New Roman"/>
      <w:b/>
      <w:bCs/>
      <w:shd w:val="clear" w:color="auto" w:fill="FFFFFF"/>
    </w:rPr>
  </w:style>
  <w:style w:type="paragraph" w:customStyle="1" w:styleId="a0">
    <w:name w:val="Подпись к таблице"/>
    <w:basedOn w:val="prastasis"/>
    <w:link w:val="a"/>
    <w:rsid w:val="00767049"/>
    <w:pPr>
      <w:widowControl w:val="0"/>
      <w:shd w:val="clear" w:color="auto" w:fill="FFFFFF"/>
      <w:spacing w:line="266" w:lineRule="exact"/>
      <w:ind w:firstLine="0"/>
    </w:pPr>
    <w:rPr>
      <w:rFonts w:eastAsia="Times New Roman"/>
      <w:b/>
      <w:bCs/>
    </w:rPr>
  </w:style>
  <w:style w:type="table" w:styleId="Lentelstinklelis">
    <w:name w:val="Table Grid"/>
    <w:basedOn w:val="prastojilentel"/>
    <w:uiPriority w:val="39"/>
    <w:rsid w:val="0076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7049"/>
    <w:pPr>
      <w:ind w:left="720"/>
      <w:contextualSpacing/>
    </w:pPr>
  </w:style>
  <w:style w:type="character" w:customStyle="1" w:styleId="3Exact">
    <w:name w:val="Основной текст (3) Exact"/>
    <w:basedOn w:val="Numatytasispastraiposriftas"/>
    <w:rsid w:val="00767049"/>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Numatytasispastraiposriftas"/>
    <w:link w:val="30"/>
    <w:rsid w:val="00767049"/>
    <w:rPr>
      <w:rFonts w:eastAsia="Times New Roman"/>
      <w:b/>
      <w:bCs/>
      <w:shd w:val="clear" w:color="auto" w:fill="FFFFFF"/>
    </w:rPr>
  </w:style>
  <w:style w:type="paragraph" w:customStyle="1" w:styleId="30">
    <w:name w:val="Основной текст (3)"/>
    <w:basedOn w:val="prastasis"/>
    <w:link w:val="3"/>
    <w:rsid w:val="00767049"/>
    <w:pPr>
      <w:widowControl w:val="0"/>
      <w:shd w:val="clear" w:color="auto" w:fill="FFFFFF"/>
      <w:spacing w:before="600" w:after="280" w:line="317" w:lineRule="exact"/>
      <w:ind w:firstLine="0"/>
      <w:jc w:val="center"/>
    </w:pPr>
    <w:rPr>
      <w:rFonts w:eastAsia="Times New Roman"/>
      <w:b/>
      <w:bCs/>
    </w:rPr>
  </w:style>
  <w:style w:type="character" w:customStyle="1" w:styleId="4">
    <w:name w:val="Основной текст (4)_"/>
    <w:basedOn w:val="Numatytasispastraiposriftas"/>
    <w:link w:val="40"/>
    <w:rsid w:val="00767049"/>
    <w:rPr>
      <w:rFonts w:eastAsia="Times New Roman"/>
      <w:sz w:val="20"/>
      <w:szCs w:val="20"/>
      <w:shd w:val="clear" w:color="auto" w:fill="FFFFFF"/>
    </w:rPr>
  </w:style>
  <w:style w:type="paragraph" w:customStyle="1" w:styleId="40">
    <w:name w:val="Основной текст (4)"/>
    <w:basedOn w:val="prastasis"/>
    <w:link w:val="4"/>
    <w:rsid w:val="00767049"/>
    <w:pPr>
      <w:widowControl w:val="0"/>
      <w:shd w:val="clear" w:color="auto" w:fill="FFFFFF"/>
      <w:spacing w:line="499" w:lineRule="exact"/>
      <w:ind w:firstLine="0"/>
      <w:jc w:val="center"/>
    </w:pPr>
    <w:rPr>
      <w:rFonts w:eastAsia="Times New Roman"/>
      <w:sz w:val="20"/>
      <w:szCs w:val="20"/>
    </w:rPr>
  </w:style>
  <w:style w:type="paragraph" w:customStyle="1" w:styleId="ECVSectionBullet">
    <w:name w:val="_ECV_SectionBullet"/>
    <w:basedOn w:val="prastasis"/>
    <w:rsid w:val="00767049"/>
    <w:pPr>
      <w:widowControl w:val="0"/>
      <w:suppressLineNumbers/>
      <w:suppressAutoHyphens/>
      <w:autoSpaceDE w:val="0"/>
      <w:spacing w:line="100" w:lineRule="atLeast"/>
      <w:ind w:firstLine="0"/>
    </w:pPr>
    <w:rPr>
      <w:rFonts w:ascii="Arial" w:eastAsia="SimSun" w:hAnsi="Arial" w:cs="Mangal"/>
      <w:color w:val="3F3A38"/>
      <w:spacing w:val="-6"/>
      <w:kern w:val="1"/>
      <w:sz w:val="18"/>
      <w:lang w:eastAsia="zh-CN" w:bidi="hi-IN"/>
    </w:rPr>
  </w:style>
  <w:style w:type="character" w:styleId="Hipersaitas">
    <w:name w:val="Hyperlink"/>
    <w:basedOn w:val="Numatytasispastraiposriftas"/>
    <w:uiPriority w:val="99"/>
    <w:semiHidden/>
    <w:unhideWhenUsed/>
    <w:rsid w:val="00767049"/>
    <w:rPr>
      <w:color w:val="0000FF"/>
      <w:u w:val="single"/>
    </w:rPr>
  </w:style>
  <w:style w:type="paragraph" w:styleId="Debesliotekstas">
    <w:name w:val="Balloon Text"/>
    <w:basedOn w:val="prastasis"/>
    <w:link w:val="DebesliotekstasDiagrama"/>
    <w:uiPriority w:val="99"/>
    <w:semiHidden/>
    <w:unhideWhenUsed/>
    <w:rsid w:val="0076704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67049"/>
    <w:rPr>
      <w:rFonts w:ascii="Segoe UI" w:hAnsi="Segoe UI" w:cs="Segoe UI"/>
      <w:sz w:val="18"/>
      <w:szCs w:val="18"/>
    </w:rPr>
  </w:style>
  <w:style w:type="character" w:customStyle="1" w:styleId="4Exact">
    <w:name w:val="Основной текст (4) Exact"/>
    <w:basedOn w:val="Numatytasispastraiposriftas"/>
    <w:rsid w:val="00767049"/>
    <w:rPr>
      <w:rFonts w:ascii="Times New Roman" w:eastAsia="Times New Roman" w:hAnsi="Times New Roman" w:cs="Times New Roman"/>
      <w:b/>
      <w:bCs/>
      <w:i w:val="0"/>
      <w:iCs w:val="0"/>
      <w:smallCaps w:val="0"/>
      <w:strike w:val="0"/>
      <w:sz w:val="22"/>
      <w:szCs w:val="22"/>
      <w:u w:val="none"/>
    </w:rPr>
  </w:style>
  <w:style w:type="character" w:customStyle="1" w:styleId="1Exact">
    <w:name w:val="Заголовок №1 Exact"/>
    <w:basedOn w:val="Numatytasispastraiposriftas"/>
    <w:link w:val="1"/>
    <w:rsid w:val="00767049"/>
    <w:rPr>
      <w:rFonts w:ascii="Arial Narrow" w:eastAsia="Arial Narrow" w:hAnsi="Arial Narrow" w:cs="Arial Narrow"/>
      <w:b/>
      <w:bCs/>
      <w:i/>
      <w:iCs/>
      <w:strike/>
      <w:color w:val="000000"/>
      <w:sz w:val="32"/>
      <w:szCs w:val="32"/>
      <w:shd w:val="clear" w:color="auto" w:fill="FFFFFF"/>
    </w:rPr>
  </w:style>
  <w:style w:type="character" w:customStyle="1" w:styleId="1TimesNewRoman18ptExact">
    <w:name w:val="Заголовок №1 + Times New Roman;18 pt;Не полужирный Exact"/>
    <w:basedOn w:val="1Exact"/>
    <w:rsid w:val="00767049"/>
    <w:rPr>
      <w:rFonts w:ascii="Times New Roman" w:eastAsia="Times New Roman" w:hAnsi="Times New Roman" w:cs="Times New Roman"/>
      <w:b/>
      <w:bCs/>
      <w:i/>
      <w:iCs/>
      <w:strike/>
      <w:color w:val="000000"/>
      <w:sz w:val="36"/>
      <w:szCs w:val="36"/>
      <w:shd w:val="clear" w:color="auto" w:fill="FFFFFF"/>
    </w:rPr>
  </w:style>
  <w:style w:type="paragraph" w:customStyle="1" w:styleId="1">
    <w:name w:val="Заголовок №1"/>
    <w:basedOn w:val="prastasis"/>
    <w:link w:val="1Exact"/>
    <w:rsid w:val="00767049"/>
    <w:pPr>
      <w:widowControl w:val="0"/>
      <w:shd w:val="clear" w:color="auto" w:fill="FFFFFF"/>
      <w:spacing w:before="100" w:line="398" w:lineRule="exact"/>
      <w:ind w:firstLine="0"/>
      <w:outlineLvl w:val="0"/>
    </w:pPr>
    <w:rPr>
      <w:rFonts w:ascii="Arial Narrow" w:eastAsia="Arial Narrow" w:hAnsi="Arial Narrow" w:cs="Arial Narrow"/>
      <w:b/>
      <w:bCs/>
      <w:i/>
      <w:iCs/>
      <w:strike/>
      <w:color w:val="000000"/>
      <w:sz w:val="32"/>
      <w:szCs w:val="32"/>
    </w:rPr>
  </w:style>
  <w:style w:type="paragraph" w:styleId="Antrats">
    <w:name w:val="header"/>
    <w:basedOn w:val="prastasis"/>
    <w:link w:val="AntratsDiagrama"/>
    <w:uiPriority w:val="99"/>
    <w:unhideWhenUsed/>
    <w:rsid w:val="00767049"/>
    <w:pPr>
      <w:tabs>
        <w:tab w:val="center" w:pos="4677"/>
        <w:tab w:val="right" w:pos="9355"/>
      </w:tabs>
    </w:pPr>
  </w:style>
  <w:style w:type="character" w:customStyle="1" w:styleId="AntratsDiagrama">
    <w:name w:val="Antraštės Diagrama"/>
    <w:basedOn w:val="Numatytasispastraiposriftas"/>
    <w:link w:val="Antrats"/>
    <w:uiPriority w:val="99"/>
    <w:rsid w:val="00767049"/>
  </w:style>
  <w:style w:type="paragraph" w:styleId="Porat">
    <w:name w:val="footer"/>
    <w:basedOn w:val="prastasis"/>
    <w:link w:val="PoratDiagrama"/>
    <w:uiPriority w:val="99"/>
    <w:unhideWhenUsed/>
    <w:rsid w:val="00767049"/>
    <w:pPr>
      <w:tabs>
        <w:tab w:val="center" w:pos="4677"/>
        <w:tab w:val="right" w:pos="9355"/>
      </w:tabs>
    </w:pPr>
  </w:style>
  <w:style w:type="character" w:customStyle="1" w:styleId="PoratDiagrama">
    <w:name w:val="Poraštė Diagrama"/>
    <w:basedOn w:val="Numatytasispastraiposriftas"/>
    <w:link w:val="Porat"/>
    <w:uiPriority w:val="99"/>
    <w:rsid w:val="00767049"/>
  </w:style>
  <w:style w:type="character" w:customStyle="1" w:styleId="5">
    <w:name w:val="Основной текст (5)_"/>
    <w:basedOn w:val="Numatytasispastraiposriftas"/>
    <w:link w:val="50"/>
    <w:rsid w:val="00767049"/>
    <w:rPr>
      <w:rFonts w:eastAsia="Times New Roman"/>
      <w:sz w:val="20"/>
      <w:szCs w:val="20"/>
      <w:shd w:val="clear" w:color="auto" w:fill="FFFFFF"/>
    </w:rPr>
  </w:style>
  <w:style w:type="paragraph" w:customStyle="1" w:styleId="50">
    <w:name w:val="Основной текст (5)"/>
    <w:basedOn w:val="prastasis"/>
    <w:link w:val="5"/>
    <w:rsid w:val="00767049"/>
    <w:pPr>
      <w:widowControl w:val="0"/>
      <w:shd w:val="clear" w:color="auto" w:fill="FFFFFF"/>
      <w:spacing w:line="222" w:lineRule="exact"/>
      <w:ind w:firstLine="0"/>
      <w:jc w:val="both"/>
    </w:pPr>
    <w:rPr>
      <w:rFonts w:eastAsia="Times New Roman"/>
      <w:sz w:val="20"/>
      <w:szCs w:val="20"/>
    </w:rPr>
  </w:style>
  <w:style w:type="paragraph" w:styleId="Betarp">
    <w:name w:val="No Spacing"/>
    <w:uiPriority w:val="1"/>
    <w:qFormat/>
    <w:rsid w:val="0076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17103</Words>
  <Characters>9750</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dc:creator>
  <cp:keywords/>
  <dc:description/>
  <cp:lastModifiedBy>Sigita</cp:lastModifiedBy>
  <cp:revision>2</cp:revision>
  <dcterms:created xsi:type="dcterms:W3CDTF">2023-01-19T12:00:00Z</dcterms:created>
  <dcterms:modified xsi:type="dcterms:W3CDTF">2023-01-19T12:00:00Z</dcterms:modified>
</cp:coreProperties>
</file>