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2020-08-04</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EE3AFE320A27">
        <w:r w:rsidRPr="00532B9F">
          <w:rPr>
            <w:rFonts w:ascii="Times New Roman" w:eastAsia="MS Mincho" w:hAnsi="Times New Roman"/>
            <w:sz w:val="20"/>
            <w:i/>
            <w:iCs/>
            <w:color w:val="0000FF" w:themeColor="hyperlink"/>
            <w:u w:val="single"/>
          </w:rPr>
          <w:t>92-4396</w:t>
        </w:r>
      </w:fldSimple>
      <w:r>
        <w:rPr>
          <w:rFonts w:ascii="Times New Roman" w:eastAsia="MS Mincho" w:hAnsi="Times New Roman"/>
          <w:sz w:val="20"/>
          <w:i/>
          <w:iCs/>
        </w:rPr>
        <w:t>, i. k. 1112070ISAK00V-1229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2020-08-04:</w:t>
      </w:r>
    </w:p>
    <w:p>
      <w:pPr>
        <w:rPr>
          <w:rFonts w:ascii="Times New Roman" w:hAnsi="Times New Roman"/>
          <w:sz w:val="20"/>
          <w:i/>
        </w:rPr>
      </w:pPr>
      <w:r>
        <w:rPr>
          <w:rFonts w:ascii="Times New Roman" w:hAnsi="Times New Roman"/>
          <w:sz w:val="20"/>
          <w:i/>
        </w:rPr>
        <w:t xml:space="preserve">Nr. </w:t>
      </w:r>
      <w:fldSimple w:instr="HYPERLINK https://www.e-tar.lt/portal/legalAct.html?documentId=7d59f790d56611eaabd5b5599dd4eebe">
        <w:r w:rsidRPr="00532B9F">
          <w:rPr>
            <w:rFonts w:ascii="Times New Roman" w:eastAsia="MS Mincho" w:hAnsi="Times New Roman"/>
            <w:sz w:val="20"/>
            <w:i/>
            <w:iCs/>
            <w:color w:val="0000FF" w:themeColor="hyperlink"/>
            <w:u w:val="single"/>
          </w:rPr>
          <w:t>V-1130</w:t>
        </w:r>
      </w:fldSimple>
      <w:r>
        <w:rPr>
          <w:rFonts w:ascii="Times New Roman" w:eastAsia="MS Mincho" w:hAnsi="Times New Roman"/>
          <w:sz w:val="20"/>
          <w:i/>
          <w:iCs/>
        </w:rPr>
        <w:t>,
2020-08-03,
paskelbta TAR 2020-08-03, i. k. 2020-16830                </w:t>
      </w:r>
    </w:p>
    <w:p>
      <w:pPr>
        <w:rPr>
          <w:rFonts w:ascii="Times New Roman" w:hAnsi="Times New Roman"/>
          <w:sz w:val="22"/>
        </w:rPr>
      </w:pPr>
    </w:p>
    <w:p>
      <w:pPr>
        <w:overflowPunct w:val="0"/>
        <w:jc w:val="center"/>
        <w:textAlignment w:val="baseline"/>
        <w:rPr>
          <w:b/>
          <w:szCs w:val="24"/>
        </w:rPr>
      </w:pPr>
      <w:r>
        <w:rPr>
          <w:b/>
          <w:szCs w:val="24"/>
        </w:rPr>
        <w:t>LIETUVOS RESPUBLIKOS ŠVIETIMO, MOKSLO IR SPORTO MINISTRAS</w:t>
      </w:r>
    </w:p>
    <w:p>
      <w:pPr>
        <w:overflowPunct w:val="0"/>
        <w:jc w:val="center"/>
        <w:textAlignment w:val="baseline"/>
        <w:rPr>
          <w:b/>
          <w:bCs/>
          <w:szCs w:val="24"/>
        </w:rPr>
      </w:pPr>
      <w:r>
        <w:rPr>
          <w:b/>
          <w:bCs/>
          <w:szCs w:val="24"/>
        </w:rPr>
        <w:t>ĮSAKYMAS</w:t>
      </w:r>
    </w:p>
    <w:p>
      <w:pPr>
        <w:rPr>
          <w:sz w:val="2"/>
          <w:szCs w:val="2"/>
        </w:rPr>
      </w:pPr>
    </w:p>
    <w:p>
      <w:pPr>
        <w:overflowPunct w:val="0"/>
        <w:jc w:val="center"/>
        <w:textAlignment w:val="baseline"/>
        <w:rPr>
          <w:szCs w:val="24"/>
        </w:rPr>
      </w:pPr>
    </w:p>
    <w:p>
      <w:pPr>
        <w:tabs>
          <w:tab w:val="left" w:pos="567"/>
          <w:tab w:val="left" w:pos="851"/>
        </w:tabs>
        <w:overflowPunct w:val="0"/>
        <w:jc w:val="center"/>
        <w:textAlignment w:val="baseline"/>
        <w:rPr>
          <w:b/>
          <w:bCs/>
          <w:caps/>
          <w:szCs w:val="24"/>
        </w:rPr>
      </w:pPr>
      <w:r>
        <w:rPr>
          <w:b/>
          <w:bCs/>
          <w:caps/>
          <w:szCs w:val="24"/>
        </w:rPr>
        <w:t>DĖL SPECIALIOSIOS PAGALBOS TEIKIMO MOKYKLOSE (IŠSKYRUS AUKŠTĄSIAS MOKYKLAS) TVARKOS APRAŠO PATVIRTINIMO</w:t>
      </w:r>
    </w:p>
    <w:p>
      <w:pPr>
        <w:tabs>
          <w:tab w:val="left" w:pos="567"/>
          <w:tab w:val="left" w:pos="851"/>
        </w:tabs>
        <w:overflowPunct w:val="0"/>
        <w:jc w:val="center"/>
        <w:textAlignment w:val="baseline"/>
        <w:rPr>
          <w:szCs w:val="24"/>
        </w:rPr>
      </w:pPr>
    </w:p>
    <w:p>
      <w:pPr>
        <w:tabs>
          <w:tab w:val="left" w:pos="567"/>
          <w:tab w:val="left" w:pos="851"/>
        </w:tabs>
        <w:overflowPunct w:val="0"/>
        <w:jc w:val="center"/>
        <w:textAlignment w:val="baseline"/>
        <w:rPr>
          <w:color w:val="000000"/>
        </w:rPr>
      </w:pPr>
      <w:r>
        <w:rPr>
          <w:color w:val="000000"/>
        </w:rPr>
        <w:t>2011 m. liepos 8 d. Nr. V-1229</w:t>
      </w:r>
    </w:p>
    <w:p>
      <w:pPr>
        <w:tabs>
          <w:tab w:val="left" w:pos="567"/>
          <w:tab w:val="left" w:pos="851"/>
        </w:tabs>
        <w:overflowPunct w:val="0"/>
        <w:jc w:val="center"/>
        <w:textAlignment w:val="baseline"/>
        <w:rPr>
          <w:szCs w:val="24"/>
        </w:rPr>
      </w:pPr>
      <w:r>
        <w:rPr>
          <w:color w:val="000000"/>
        </w:rPr>
        <w:t>Vilnius</w:t>
      </w:r>
    </w:p>
    <w:p>
      <w:pPr>
        <w:tabs>
          <w:tab w:val="left" w:pos="567"/>
          <w:tab w:val="left" w:pos="851"/>
        </w:tabs>
        <w:overflowPunct w:val="0"/>
        <w:jc w:val="center"/>
        <w:textAlignment w:val="baseline"/>
        <w:rPr>
          <w:szCs w:val="24"/>
        </w:rPr>
      </w:pPr>
    </w:p>
    <w:p>
      <w:pPr>
        <w:tabs>
          <w:tab w:val="left" w:pos="4927"/>
        </w:tabs>
        <w:overflowPunct w:val="0"/>
        <w:jc w:val="both"/>
        <w:textAlignment w:val="baseline"/>
        <w:rPr>
          <w:szCs w:val="24"/>
        </w:rPr>
      </w:pPr>
    </w:p>
    <w:p>
      <w:pPr>
        <w:ind w:firstLine="720"/>
        <w:jc w:val="both"/>
        <w:rPr>
          <w:color w:val="000000"/>
          <w:szCs w:val="24"/>
        </w:rPr>
      </w:pPr>
      <w:r>
        <w:rPr>
          <w:color w:val="000000"/>
          <w:szCs w:val="24"/>
        </w:rPr>
        <w:t xml:space="preserve">Vadovaudamasis Lietuvos Respublikos </w:t>
      </w:r>
      <w:r>
        <w:rPr>
          <w:iCs/>
          <w:color w:val="000000"/>
          <w:szCs w:val="24"/>
        </w:rPr>
        <w:t>švietimo įstatymo</w:t>
      </w:r>
      <w:r>
        <w:rPr>
          <w:color w:val="000000"/>
          <w:szCs w:val="24"/>
        </w:rPr>
        <w:t xml:space="preserve"> 21 straipsnio 3 dalimi, </w:t>
      </w:r>
    </w:p>
    <w:p>
      <w:pPr>
        <w:ind w:firstLine="782"/>
        <w:jc w:val="both"/>
      </w:pPr>
      <w:r>
        <w:rPr>
          <w:color w:val="000000"/>
          <w:szCs w:val="24"/>
        </w:rPr>
        <w:t>t v i r t i n u Specialiosios pagalbos teikimo mokyklose (išskyrus aukštąsias mokyklas)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Pr>
        <w:widowControl w:val="0"/>
        <w:suppressAutoHyphens/>
        <w:jc w:val="center"/>
        <w:rPr>
          <w:color w:val="000000"/>
        </w:rPr>
      </w:pPr>
    </w:p>
    <w:p/>
    <w:p>
      <w:pPr>
        <w:keepLines/>
        <w:widowControl w:val="0"/>
        <w:suppressAutoHyphens/>
        <w:ind w:left="4535"/>
        <w:sectPr>
          <w:headerReference w:type="even" r:id="rId10"/>
          <w:headerReference w:type="default" r:id="rId11"/>
          <w:footerReference w:type="even" r:id="rId12"/>
          <w:footerReference w:type="default" r:id="rId13"/>
          <w:headerReference w:type="first" r:id="rId14"/>
          <w:footerReference w:type="first" r:id="rId15"/>
          <w:pgSz w:w="11907" w:h="16840" w:code="9"/>
          <w:pgMar w:top="1701" w:right="567" w:bottom="1134" w:left="1701" w:header="567" w:footer="284" w:gutter="0"/>
          <w:pgNumType w:start="1"/>
          <w:cols w:space="1296"/>
          <w:titlePg/>
          <w:docGrid w:linePitch="360"/>
        </w:sectPr>
      </w:pPr>
    </w:p>
    <w:p>
      <w:pPr>
        <w:keepLines/>
        <w:widowControl w:val="0"/>
        <w:suppressAutoHyphens/>
        <w:ind w:left="4535" w:hanging="566"/>
        <w:rPr>
          <w:color w:val="000000"/>
        </w:rPr>
      </w:pPr>
      <w:r>
        <w:rPr>
          <w:color w:val="000000"/>
        </w:rPr>
        <w:t>PATVIRTINTA</w:t>
      </w:r>
    </w:p>
    <w:p>
      <w:pPr>
        <w:keepLines/>
        <w:widowControl w:val="0"/>
        <w:suppressAutoHyphens/>
        <w:ind w:left="4535" w:hanging="566"/>
        <w:rPr>
          <w:color w:val="000000"/>
        </w:rPr>
      </w:pPr>
      <w:r>
        <w:rPr>
          <w:color w:val="000000"/>
          <w:szCs w:val="24"/>
        </w:rPr>
        <w:t>Lietuvos Respublikos švietimo, mokslo ir sporto ministro</w:t>
      </w:r>
      <w:r>
        <w:rPr>
          <w:color w:val="000000"/>
        </w:rPr>
        <w:t xml:space="preserve"> </w:t>
      </w:r>
    </w:p>
    <w:p>
      <w:pPr>
        <w:keepLines/>
        <w:widowControl w:val="0"/>
        <w:suppressAutoHyphens/>
        <w:ind w:left="4535" w:hanging="566"/>
        <w:rPr>
          <w:color w:val="000000"/>
        </w:rPr>
      </w:pPr>
      <w:r>
        <w:rPr>
          <w:color w:val="000000"/>
        </w:rPr>
        <w:t>2011 m. liepos 8 d. įsakymu Nr. V-1229</w:t>
      </w:r>
    </w:p>
    <w:p>
      <w:pPr>
        <w:widowControl w:val="0"/>
        <w:suppressAutoHyphens/>
        <w:jc w:val="center"/>
        <w:rPr>
          <w:color w:val="000000"/>
        </w:rPr>
      </w:pPr>
    </w:p>
    <w:p>
      <w:pPr>
        <w:keepLines/>
        <w:widowControl w:val="0"/>
        <w:suppressAutoHyphens/>
        <w:jc w:val="center"/>
        <w:rPr>
          <w:b/>
          <w:bCs/>
          <w:caps/>
          <w:color w:val="000000"/>
        </w:rPr>
      </w:pPr>
      <w:r>
        <w:rPr>
          <w:b/>
          <w:bCs/>
          <w:caps/>
          <w:color w:val="000000"/>
        </w:rPr>
        <w:t>SPECIALIOSIOS PAGALBOS TEIKIMO MOKYKLOSE (IŠSKYRUS AUKŠTĄSIAS MOKYKLAS) TVARKOS APRAŠAS</w:t>
      </w:r>
    </w:p>
    <w:p>
      <w:pPr>
        <w:widowControl w:val="0"/>
        <w:suppressAutoHyphens/>
        <w:jc w:val="center"/>
        <w:rPr>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Specialiosios pagalbos teikimo mokyklose (išskyrus aukštąsias mokyklas) tvarkos aprašas (toliau – Aprašas) nustato specialiosios pagalbos (toliau – Pagalba) gavėjus, teikėjus ir teikėjų funkcijas, pagalbos organizavimą.</w:t>
      </w:r>
    </w:p>
    <w:p>
      <w:pPr>
        <w:widowControl w:val="0"/>
        <w:suppressAutoHyphens/>
        <w:ind w:firstLine="567"/>
        <w:jc w:val="both"/>
        <w:rPr>
          <w:color w:val="000000"/>
        </w:rPr>
      </w:pPr>
      <w:r>
        <w:rPr>
          <w:color w:val="000000"/>
        </w:rPr>
        <w:t>2</w:t>
      </w:r>
      <w:r>
        <w:rPr>
          <w:color w:val="000000"/>
        </w:rPr>
        <w:t>. Pagalbos paskirtis – didinti specialiųjų ugdymosi poreikių turinčio mokinio ugdymosi veiksmingumą.</w:t>
      </w:r>
    </w:p>
    <w:p>
      <w:pPr>
        <w:widowControl w:val="0"/>
        <w:suppressAutoHyphens/>
        <w:ind w:firstLine="567"/>
        <w:jc w:val="both"/>
        <w:rPr>
          <w:color w:val="000000"/>
        </w:rPr>
      </w:pPr>
      <w:r>
        <w:rPr>
          <w:color w:val="000000"/>
        </w:rPr>
        <w:t>3</w:t>
      </w:r>
      <w:r>
        <w:rPr>
          <w:color w:val="000000"/>
        </w:rPr>
        <w:t>. Pagalba teikiama formaliojo (išskyrus aukštąsias mokyklas) ir neformaliojo švietimo mokyklose (toliau – Mokykla).</w:t>
      </w:r>
    </w:p>
    <w:p>
      <w:pPr>
        <w:widowControl w:val="0"/>
        <w:suppressAutoHyphens/>
        <w:ind w:firstLine="567"/>
        <w:jc w:val="both"/>
        <w:rPr>
          <w:color w:val="000000"/>
        </w:rPr>
      </w:pPr>
      <w:r>
        <w:rPr>
          <w:color w:val="000000"/>
        </w:rPr>
        <w:t>4</w:t>
      </w:r>
      <w:r>
        <w:rPr>
          <w:color w:val="000000"/>
        </w:rPr>
        <w:t>. Pagalbos teikimą organizuoja ir koordinuoja savivaldybių administracijų švietimo padaliniai, pedagoginės psichologinės tarnybos (ar švietimo pagalbos tarnybos) (toliau – Tarnyba), Mokyklos vaiko gerovės komisija, Mokyklos vadovas ar vadovo įgaliotas asmuo.</w:t>
      </w:r>
    </w:p>
    <w:p>
      <w:pPr>
        <w:widowControl w:val="0"/>
        <w:suppressAutoHyphens/>
        <w:ind w:firstLine="567"/>
        <w:jc w:val="both"/>
        <w:rPr>
          <w:color w:val="000000"/>
        </w:rPr>
      </w:pPr>
      <w:r>
        <w:rPr>
          <w:color w:val="000000"/>
        </w:rPr>
        <w:t>5</w:t>
      </w:r>
      <w:r>
        <w:rPr>
          <w:color w:val="000000"/>
        </w:rPr>
        <w:t xml:space="preserve">. Pagalba teikiama vadovaujantis Lietuvos Respublikos švietimo įstatymu (Žin., 1991, Nr. </w:t>
      </w:r>
      <w:hyperlink r:id="rId16" w:tgtFrame="_blank" w:history="1">
        <w:r>
          <w:rPr>
            <w:color w:val="0000FF" w:themeColor="hyperlink"/>
            <w:u w:val="single"/>
          </w:rPr>
          <w:t>23-593</w:t>
        </w:r>
      </w:hyperlink>
      <w:r>
        <w:rPr>
          <w:color w:val="000000"/>
        </w:rPr>
        <w:t xml:space="preserve">; 2011, Nr. </w:t>
      </w:r>
      <w:hyperlink r:id="rId17" w:tgtFrame="_blank" w:history="1">
        <w:r>
          <w:rPr>
            <w:color w:val="0000FF" w:themeColor="hyperlink"/>
            <w:u w:val="single"/>
          </w:rPr>
          <w:t>38-1804</w:t>
        </w:r>
      </w:hyperlink>
      <w:r>
        <w:rPr>
          <w:color w:val="000000"/>
        </w:rPr>
        <w:t>), šiuo Aprašu bei kitais teisės aktais.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PAGALBOS GAVĖJAI, TEIKĖJAI IR TEIKĖJŲ FUNKCIJOS</w:t>
      </w:r>
    </w:p>
    <w:p>
      <w:pPr>
        <w:widowControl w:val="0"/>
        <w:suppressAutoHyphens/>
        <w:jc w:val="center"/>
        <w:rPr>
          <w:color w:val="000000"/>
        </w:rPr>
      </w:pPr>
    </w:p>
    <w:p>
      <w:pPr>
        <w:widowControl w:val="0"/>
        <w:suppressAutoHyphens/>
        <w:ind w:firstLine="567"/>
        <w:jc w:val="both"/>
        <w:rPr>
          <w:color w:val="000000"/>
        </w:rPr>
      </w:pPr>
      <w:r>
        <w:rPr>
          <w:color w:val="000000"/>
        </w:rPr>
        <w:t>6</w:t>
      </w:r>
      <w:r>
        <w:rPr>
          <w:color w:val="000000"/>
        </w:rPr>
        <w:t>. Pagalbos mokiniams teikėjai – mokytojo padėjėjas, gestų kalbos vertėjas.</w:t>
      </w:r>
    </w:p>
    <w:p>
      <w:pPr>
        <w:widowControl w:val="0"/>
        <w:suppressAutoHyphens/>
        <w:ind w:firstLine="567"/>
        <w:jc w:val="both"/>
        <w:rPr>
          <w:color w:val="000000"/>
        </w:rPr>
      </w:pPr>
      <w:r>
        <w:rPr>
          <w:color w:val="000000"/>
        </w:rPr>
        <w:t>7</w:t>
      </w:r>
      <w:r>
        <w:rPr>
          <w:color w:val="000000"/>
        </w:rPr>
        <w:t>. Mokytojo padėjėjo paslaugos teikiamos mokiniui ar (ir) mokinių grupei, turinčiai vidutinių, didelių ar labai didelių specialiųjų ugdymosi poreikių ir dėl įgytų ir įgimtų sutrikimų negalinčiai savarankiškai dalyvauti ugdymo procese.</w:t>
      </w:r>
    </w:p>
    <w:p>
      <w:pPr>
        <w:widowControl w:val="0"/>
        <w:suppressAutoHyphens/>
        <w:ind w:firstLine="567"/>
        <w:jc w:val="both"/>
        <w:rPr>
          <w:b/>
          <w:bCs/>
          <w:color w:val="000000"/>
          <w:spacing w:val="-2"/>
        </w:rPr>
      </w:pPr>
      <w:r>
        <w:rPr>
          <w:color w:val="000000"/>
          <w:spacing w:val="-2"/>
        </w:rPr>
        <w:t>8</w:t>
      </w:r>
      <w:r>
        <w:rPr>
          <w:color w:val="000000"/>
          <w:spacing w:val="-2"/>
        </w:rPr>
        <w:t>. Gestų kalbos vertėjo paslaugos teikiamos mokiniui ar (ir) mokinių grupei, turinčiai vidutinių, didelių ar labai didelių specialiųjų ugdymosi poreikių ir dėl klausos ar kompleksinių sutrikimų (kai į komplekso sudėtį įeina klausos sutrikimas) negalintiems vartoti žodinės kalbos.</w:t>
      </w:r>
    </w:p>
    <w:p>
      <w:pPr>
        <w:widowControl w:val="0"/>
        <w:suppressAutoHyphens/>
        <w:ind w:firstLine="567"/>
        <w:jc w:val="both"/>
        <w:rPr>
          <w:color w:val="000000"/>
        </w:rPr>
      </w:pPr>
      <w:r>
        <w:rPr>
          <w:color w:val="000000"/>
        </w:rPr>
        <w:t>9</w:t>
      </w:r>
      <w:r>
        <w:rPr>
          <w:color w:val="000000"/>
        </w:rPr>
        <w:t>. Mokytojo padėjėjas padeda mokiniui ar (ir) mokinių grupei atlikti su ugdymusi, savitarna, savitvarka ir maitinimusi susijusias veiklas, padeda orientuotis aplinkoje, judėti, tinkamai naudotis ugdymui skirtomis techninės pagalbos priemonėmis, teikia teksto skaitymo ir konspektavimo bei kitas paslaugas.</w:t>
      </w:r>
    </w:p>
    <w:p>
      <w:pPr>
        <w:widowControl w:val="0"/>
        <w:suppressAutoHyphens/>
        <w:ind w:firstLine="567"/>
        <w:jc w:val="both"/>
        <w:rPr>
          <w:i/>
          <w:iCs/>
          <w:color w:val="000000"/>
        </w:rPr>
      </w:pPr>
      <w:r>
        <w:rPr>
          <w:color w:val="000000"/>
        </w:rPr>
        <w:t>10</w:t>
      </w:r>
      <w:r>
        <w:rPr>
          <w:color w:val="000000"/>
        </w:rPr>
        <w:t>. Gestų kalbos vertėjas verčia žodinę kalbą į gestų kalbą ir atvirkščiai.</w:t>
      </w:r>
    </w:p>
    <w:p>
      <w:pPr>
        <w:widowControl w:val="0"/>
        <w:suppressAutoHyphens/>
        <w:jc w:val="center"/>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PAGALBOS ORGANIZAVIMAS</w:t>
      </w:r>
    </w:p>
    <w:p>
      <w:pPr>
        <w:widowControl w:val="0"/>
        <w:suppressAutoHyphens/>
        <w:jc w:val="center"/>
        <w:rPr>
          <w:color w:val="000000"/>
        </w:rPr>
      </w:pPr>
    </w:p>
    <w:p>
      <w:pPr>
        <w:widowControl w:val="0"/>
        <w:suppressAutoHyphens/>
        <w:ind w:firstLine="567"/>
        <w:jc w:val="both"/>
        <w:rPr>
          <w:color w:val="000000"/>
        </w:rPr>
      </w:pPr>
      <w:r>
        <w:rPr>
          <w:color w:val="000000"/>
        </w:rPr>
        <w:t>11</w:t>
      </w:r>
      <w:r>
        <w:rPr>
          <w:color w:val="000000"/>
        </w:rPr>
        <w:t>. Siekiant užtikrinti Pagalbos prieinamumą:</w:t>
      </w:r>
    </w:p>
    <w:p>
      <w:pPr>
        <w:widowControl w:val="0"/>
        <w:suppressAutoHyphens/>
        <w:ind w:firstLine="567"/>
        <w:jc w:val="both"/>
        <w:rPr>
          <w:color w:val="000000"/>
        </w:rPr>
      </w:pPr>
      <w:r>
        <w:rPr>
          <w:color w:val="000000"/>
        </w:rPr>
        <w:t>11.1</w:t>
      </w:r>
      <w:r>
        <w:rPr>
          <w:color w:val="000000"/>
        </w:rPr>
        <w:t>. mokytojo padėjėjo etatas gali būti steigiamas, jei Mokykloje mokosi mokinys, turintis vidutinių, didelių ar labai didelių specialiųjų ugdymosi poreikių ir negalintis savarankiškai dalyvauti ugdymo procese;</w:t>
      </w:r>
    </w:p>
    <w:p>
      <w:pPr>
        <w:widowControl w:val="0"/>
        <w:suppressAutoHyphens/>
        <w:ind w:firstLine="567"/>
        <w:jc w:val="both"/>
        <w:rPr>
          <w:color w:val="000000"/>
        </w:rPr>
      </w:pPr>
      <w:r>
        <w:rPr>
          <w:color w:val="000000"/>
        </w:rPr>
        <w:t>11.2</w:t>
      </w:r>
      <w:r>
        <w:rPr>
          <w:color w:val="000000"/>
        </w:rPr>
        <w:t>. gestų kalbos vertėjo etatas gali būti steigiamas jei Mokykloje mokosi mokinys, turintis klausos ar kompleksinių sutrikimų (kai į komplekso sudėtį įeina klausos sutrikimas), turintis vidutinių, didelių ar labai didelių specialiųjų ugdymosi poreikių.</w:t>
      </w:r>
    </w:p>
    <w:p>
      <w:pPr>
        <w:widowControl w:val="0"/>
        <w:suppressAutoHyphens/>
        <w:ind w:firstLine="567"/>
        <w:jc w:val="both"/>
        <w:rPr>
          <w:color w:val="000000"/>
        </w:rPr>
      </w:pPr>
      <w:r>
        <w:rPr>
          <w:color w:val="000000"/>
        </w:rPr>
        <w:t>12</w:t>
      </w:r>
      <w:r>
        <w:rPr>
          <w:color w:val="000000"/>
        </w:rPr>
        <w:t>. Pagalbos reikalingumą mokiniui, turinčiam specialiųjų ugdymosi poreikių, įvertina ir Pagalbos teikimą skiria Tarnyba, atsižvelgusi į sveikatos priežiūros įstaigos specialistų išvadas, įvertinusi mokinio raidos sutrikimą ir nustačiusi specialiuosius ugdymosi poreikius.</w:t>
      </w:r>
    </w:p>
    <w:p>
      <w:pPr>
        <w:widowControl w:val="0"/>
        <w:suppressAutoHyphens/>
        <w:ind w:firstLine="567"/>
        <w:jc w:val="both"/>
        <w:rPr>
          <w:color w:val="000000"/>
        </w:rPr>
      </w:pPr>
      <w:r>
        <w:rPr>
          <w:color w:val="000000"/>
        </w:rPr>
        <w:t>13</w:t>
      </w:r>
      <w:r>
        <w:rPr>
          <w:color w:val="000000"/>
        </w:rPr>
        <w:t>. Pagalba mokiniams, turintiems specialiųjų ugdymosi poreikių, teikiama ugdymo proceso metu.</w:t>
      </w:r>
    </w:p>
    <w:p>
      <w:pPr>
        <w:overflowPunct w:val="0"/>
        <w:ind w:firstLine="567"/>
        <w:jc w:val="both"/>
        <w:textAlignment w:val="baseline"/>
        <w:rPr>
          <w:color w:val="000000"/>
        </w:rPr>
      </w:pPr>
      <w:r>
        <w:t>13</w:t>
      </w:r>
      <w:r>
        <w:rPr>
          <w:vertAlign w:val="superscript"/>
        </w:rPr>
        <w:t>1</w:t>
      </w:r>
      <w:r>
        <w:t>. Mokiniams, kurie mokosi kasdieniu mokymo proceso organizavimo būdu, Pagalba teikiama tiesioginiu būdu. Mokiniams, kurie mokosi nuotoliniu mokymo proceso organizavimo būdu, Pagalba teikiama nuotoliniu ir (arba) tiesioginiu būdu. Karantino, ekstremalios situacijos, ekstremalaus įvykio ar įvykio (ekstremali temperatūra, gaisras, potvynis, pūga ir kt.), keliančio pavojų mokinių sveikatai ir gyvybei (toliau – ypatingos aplinkybės),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59f790d56611eaabd5b5599dd4eebe">
        <w:r w:rsidRPr="00532B9F">
          <w:rPr>
            <w:rFonts w:ascii="Times New Roman" w:eastAsia="MS Mincho" w:hAnsi="Times New Roman"/>
            <w:sz w:val="20"/>
            <w:i/>
            <w:iCs/>
            <w:color w:val="0000FF" w:themeColor="hyperlink"/>
            <w:u w:val="single"/>
          </w:rPr>
          <w:t>V-1130</w:t>
        </w:r>
      </w:fldSimple>
      <w:r>
        <w:rPr>
          <w:rFonts w:ascii="Times New Roman" w:eastAsia="MS Mincho" w:hAnsi="Times New Roman"/>
          <w:sz w:val="20"/>
          <w:i/>
          <w:iCs/>
        </w:rPr>
        <w:t>,
2020-08-03,
paskelbta TAR 2020-08-03, i. k. 2020-16830        </w:t>
      </w:r>
    </w:p>
    <w:p/>
    <w:p>
      <w:pPr>
        <w:widowControl w:val="0"/>
        <w:suppressAutoHyphens/>
        <w:ind w:firstLine="567"/>
        <w:jc w:val="both"/>
        <w:rPr>
          <w:color w:val="000000"/>
        </w:rPr>
      </w:pPr>
      <w:r>
        <w:rPr>
          <w:color w:val="000000"/>
        </w:rPr>
        <w:t>14</w:t>
      </w:r>
      <w:r>
        <w:rPr>
          <w:color w:val="000000"/>
        </w:rPr>
        <w:t>. Pagalbos teikėjai prireikus dalyvauja Mokytojų tarybos ir Mokyklos vaiko gerovės komisijos posėdžiuose aptariant individualaus darbo su mokiniu ar (ir) mokinių grupe planus, programas, būdus, metodus ir pagalbos intensyvumą.</w:t>
      </w:r>
    </w:p>
    <w:p>
      <w:pPr>
        <w:widowControl w:val="0"/>
        <w:suppressAutoHyphens/>
        <w:ind w:firstLine="567"/>
        <w:jc w:val="both"/>
        <w:rPr>
          <w:color w:val="000000"/>
          <w:spacing w:val="-2"/>
        </w:rPr>
      </w:pPr>
      <w:r>
        <w:rPr>
          <w:color w:val="000000"/>
          <w:spacing w:val="-2"/>
        </w:rPr>
        <w:t>15</w:t>
      </w:r>
      <w:r>
        <w:rPr>
          <w:color w:val="000000"/>
          <w:spacing w:val="-2"/>
        </w:rPr>
        <w:t>. Reikalavimai pagalbos teikėjams ir papildomos funkcijos nustatomi mokytojo padėjėjo, gestų kalbos vertėjo pareigybės aprašyme.</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d59f790d56611eaabd5b5599dd4eebe">
        <w:r w:rsidRPr="00532B9F">
          <w:rPr>
            <w:rFonts w:ascii="Times New Roman" w:eastAsia="MS Mincho" w:hAnsi="Times New Roman"/>
            <w:sz w:val="20"/>
            <w:i/>
            <w:iCs/>
            <w:color w:val="0000FF" w:themeColor="hyperlink"/>
            <w:u w:val="single"/>
          </w:rPr>
          <w:t>V-1130</w:t>
        </w:r>
      </w:fldSimple>
      <w:r>
        <w:rPr>
          <w:rFonts w:ascii="Times New Roman" w:eastAsia="MS Mincho" w:hAnsi="Times New Roman"/>
          <w:sz w:val="20"/>
          <w:i/>
          <w:iCs/>
        </w:rPr>
        <w:t>,
2020-08-03,
paskelbta TAR 2020-08-03, i. k. 2020-16830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59f790d56611eaabd5b5599dd4eebe">
        <w:r w:rsidRPr="00532B9F">
          <w:rPr>
            <w:rFonts w:ascii="Times New Roman" w:eastAsia="MS Mincho" w:hAnsi="Times New Roman"/>
            <w:sz w:val="20"/>
            <w:iCs/>
            <w:color w:val="0000FF" w:themeColor="hyperlink"/>
            <w:u w:val="single"/>
          </w:rPr>
          <w:t>V-1130</w:t>
        </w:r>
      </w:fldSimple>
      <w:r>
        <w:rPr>
          <w:rFonts w:ascii="Times New Roman" w:eastAsia="MS Mincho" w:hAnsi="Times New Roman"/>
          <w:sz w:val="20"/>
          <w:iCs/>
        </w:rPr>
        <w:t>,
2020-08-03,
paskelbta TAR 2020-08-03, i. k. 2020-16830                </w:t>
      </w:r>
    </w:p>
    <w:p>
      <w:pPr>
        <w:jc w:val="both"/>
        <w:rPr>
          <w:rFonts w:ascii="Times New Roman" w:hAnsi="Times New Roman"/>
        </w:rPr>
      </w:pPr>
      <w:r>
        <w:rPr>
          <w:rFonts w:ascii="Times New Roman" w:hAnsi="Times New Roman"/>
          <w:sz w:val="20"/>
        </w:rPr>
        <w:t>Dėl švietimo ir mokslo ministro 2011 m. liepos 8 d. įsakymo Nr. V-1229 „Dėl Specialiosios pagalbos teikimo mokyklose (išskyrus aukštąsias mokyklas)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605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6.xml"/>
  <Relationship Id="rId10" Type="http://schemas.openxmlformats.org/officeDocument/2006/relationships/header" Target="header10.xml"/>
  <Relationship Id="rId11" Type="http://schemas.openxmlformats.org/officeDocument/2006/relationships/header" Target="header11.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12.xml"/>
  <Relationship Id="rId15" Type="http://schemas.openxmlformats.org/officeDocument/2006/relationships/footer" Target="footer9.xml"/>
  <Relationship Id="rId16" Type="http://schemas.openxmlformats.org/officeDocument/2006/relationships/hyperlink" TargetMode="External" Target="https://www.e-tar.lt/portal/lt/legalAct/TAR.9A3AD08EA5D0"/>
  <Relationship Id="rId17" Type="http://schemas.openxmlformats.org/officeDocument/2006/relationships/hyperlink" TargetMode="External" Target="https://www.e-tar.lt/portal/lt/legalAct/TAR.E2EBE95E7723"/>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3116</Words>
  <Characters>1777</Characters>
  <Application>Microsoft Office Word</Application>
  <DocSecurity>0</DocSecurity>
  <Lines>14</Lines>
  <Paragraphs>9</Paragraphs>
  <ScaleCrop>false</ScaleCrop>
  <Company/>
  <LinksUpToDate>false</LinksUpToDate>
  <CharactersWithSpaces>4884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2015-07-01T15:26:00Z</dcterms:created>
  <dc:creator>Rima</dc:creator>
  <lastModifiedBy>DRAZDAUSKIENĖ Nijolė</lastModifiedBy>
  <dcterms:modified xsi:type="dcterms:W3CDTF">2020-08-04T08:15:00Z</dcterms:modified>
  <revision>7</revision>
  <dc:title>LIETUVOS RESPUBLIKOS ŠVIETIMO IR MOKSLO MINISTRO</dc:title>
</coreProperties>
</file>