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2836" w14:textId="77777777" w:rsidR="005A0F82" w:rsidRDefault="00751BE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1F3286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21F32837" w14:textId="77777777" w:rsidR="005A0F82" w:rsidRDefault="00751BE9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21F32838" w14:textId="77777777" w:rsidR="005A0F82" w:rsidRDefault="005A0F82">
      <w:pPr>
        <w:widowControl w:val="0"/>
        <w:suppressAutoHyphens/>
        <w:jc w:val="center"/>
        <w:rPr>
          <w:color w:val="000000"/>
        </w:rPr>
      </w:pPr>
    </w:p>
    <w:p w14:paraId="21F32839" w14:textId="77777777" w:rsidR="005A0F82" w:rsidRDefault="00751BE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ŠVIETIMO IR MOKSLO MINISTRO 2005 M. BALANDŽIO 18 D. ĮSAKYMO NR. ISAK-627 „DĖL IKIMOKYKLINIO UGDYMO PROGRAMŲ KRITERIJŲ APRAŠO“ PAKEITIMO</w:t>
      </w:r>
    </w:p>
    <w:p w14:paraId="21F3283A" w14:textId="77777777" w:rsidR="005A0F82" w:rsidRDefault="005A0F82">
      <w:pPr>
        <w:widowControl w:val="0"/>
        <w:suppressAutoHyphens/>
        <w:jc w:val="center"/>
        <w:rPr>
          <w:color w:val="000000"/>
        </w:rPr>
      </w:pPr>
    </w:p>
    <w:p w14:paraId="21F3283B" w14:textId="77777777" w:rsidR="005A0F82" w:rsidRDefault="00751BE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7 d.</w:t>
      </w:r>
      <w:r>
        <w:rPr>
          <w:color w:val="000000"/>
        </w:rPr>
        <w:t xml:space="preserve"> Nr. V-1009</w:t>
      </w:r>
    </w:p>
    <w:p w14:paraId="21F3283C" w14:textId="77777777" w:rsidR="005A0F82" w:rsidRDefault="00751BE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1F3283D" w14:textId="77777777" w:rsidR="005A0F82" w:rsidRDefault="005A0F82">
      <w:pPr>
        <w:widowControl w:val="0"/>
        <w:suppressAutoHyphens/>
        <w:rPr>
          <w:color w:val="000000"/>
        </w:rPr>
      </w:pPr>
    </w:p>
    <w:p w14:paraId="21F3283E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švietimo ir mokslo ministro 2005 m. balandžio 18 d. įsakymą Nr. ISAK-627 „Dėl Ikimokyklinio ugdymo programų kriterijų aprašo“ (Žin., 2005, Nr. </w:t>
      </w:r>
      <w:hyperlink r:id="rId10" w:tgtFrame="_blank" w:history="1">
        <w:r>
          <w:rPr>
            <w:color w:val="0000FF" w:themeColor="hyperlink"/>
            <w:u w:val="single"/>
          </w:rPr>
          <w:t>52-1752</w:t>
        </w:r>
      </w:hyperlink>
      <w:r>
        <w:rPr>
          <w:color w:val="000000"/>
        </w:rPr>
        <w:t>) ir išdėstau jį nauja redakcija:</w:t>
      </w:r>
    </w:p>
    <w:p w14:paraId="21F3283F" w14:textId="77777777" w:rsidR="005A0F82" w:rsidRDefault="005A0F82">
      <w:pPr>
        <w:widowControl w:val="0"/>
        <w:suppressAutoHyphens/>
        <w:jc w:val="both"/>
        <w:rPr>
          <w:color w:val="000000"/>
        </w:rPr>
      </w:pPr>
    </w:p>
    <w:p w14:paraId="21F32840" w14:textId="77777777" w:rsidR="005A0F82" w:rsidRDefault="00751BE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caps/>
          <w:color w:val="000000"/>
        </w:rPr>
        <w:t>„</w:t>
      </w:r>
      <w:r>
        <w:rPr>
          <w:b/>
          <w:bCs/>
          <w:caps/>
          <w:color w:val="000000"/>
        </w:rPr>
        <w:t>LIETUVOS RESPUBLIKOS ŠVIETIMO IR MOKSLO MINISTRAS</w:t>
      </w:r>
    </w:p>
    <w:p w14:paraId="21F32841" w14:textId="77777777" w:rsidR="005A0F82" w:rsidRDefault="005A0F82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21F32842" w14:textId="77777777" w:rsidR="005A0F82" w:rsidRDefault="00751BE9"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ĮSAKYMAS</w:t>
      </w:r>
    </w:p>
    <w:p w14:paraId="21F32843" w14:textId="77777777" w:rsidR="005A0F82" w:rsidRDefault="00751BE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IKIMOKYKLINIO UGDYMO PROGRAMŲ KRITERIJŲ APRAŠO</w:t>
      </w:r>
    </w:p>
    <w:p w14:paraId="21F32844" w14:textId="77777777" w:rsidR="005A0F82" w:rsidRDefault="005A0F82">
      <w:pPr>
        <w:widowControl w:val="0"/>
        <w:suppressAutoHyphens/>
        <w:jc w:val="both"/>
        <w:rPr>
          <w:color w:val="000000"/>
        </w:rPr>
      </w:pPr>
    </w:p>
    <w:p w14:paraId="21F32845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švietimo įstatymo (Žin., 1991, Nr. </w:t>
      </w:r>
      <w:hyperlink r:id="rId11" w:tgtFrame="_blank" w:history="1">
        <w:r>
          <w:rPr>
            <w:color w:val="0000FF" w:themeColor="hyperlink"/>
            <w:u w:val="single"/>
          </w:rPr>
          <w:t>23-596</w:t>
        </w:r>
      </w:hyperlink>
      <w:r>
        <w:rPr>
          <w:color w:val="000000"/>
        </w:rPr>
        <w:t xml:space="preserve">; 2011, Nr. </w:t>
      </w:r>
      <w:hyperlink r:id="rId12" w:tgtFrame="_blank" w:history="1">
        <w:r>
          <w:rPr>
            <w:color w:val="0000FF" w:themeColor="hyperlink"/>
            <w:u w:val="single"/>
          </w:rPr>
          <w:t>38-1804</w:t>
        </w:r>
      </w:hyperlink>
      <w:r>
        <w:rPr>
          <w:color w:val="000000"/>
        </w:rPr>
        <w:t>) 7 straipsnio 4 dalimi ir 56 straipsnio 12 punktu,</w:t>
      </w:r>
    </w:p>
    <w:p w14:paraId="21F32846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Ikimokyklinio ugdymo programų kriterijų aprašą (pridedama).“</w:t>
      </w:r>
    </w:p>
    <w:p w14:paraId="21F32847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įsigalioja 2011 m. liepos 1 dieną.</w:t>
      </w:r>
    </w:p>
    <w:p w14:paraId="21F32848" w14:textId="77777777" w:rsidR="005A0F82" w:rsidRDefault="005A0F82">
      <w:pPr>
        <w:widowControl w:val="0"/>
        <w:suppressAutoHyphens/>
        <w:jc w:val="both"/>
        <w:rPr>
          <w:color w:val="000000"/>
        </w:rPr>
      </w:pPr>
    </w:p>
    <w:p w14:paraId="21F32849" w14:textId="77777777" w:rsidR="005A0F82" w:rsidRDefault="00751BE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1F3284D" w14:textId="4B71CAE4" w:rsidR="005A0F82" w:rsidRPr="00751BE9" w:rsidRDefault="00751BE9" w:rsidP="00751BE9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p w14:paraId="21F3284E" w14:textId="77777777" w:rsidR="005A0F82" w:rsidRDefault="00751BE9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21F3284F" w14:textId="77777777" w:rsidR="005A0F82" w:rsidRDefault="00751BE9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14:paraId="21F32850" w14:textId="77777777" w:rsidR="005A0F82" w:rsidRDefault="00751BE9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švietimo ir mokslo ministro </w:t>
      </w:r>
    </w:p>
    <w:p w14:paraId="21F32851" w14:textId="77777777" w:rsidR="005A0F82" w:rsidRDefault="00751BE9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2005 m. balandžio 18 d. </w:t>
      </w:r>
    </w:p>
    <w:p w14:paraId="21F32852" w14:textId="77777777" w:rsidR="005A0F82" w:rsidRDefault="00751BE9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įsakymu Nr. ISAK-627 </w:t>
      </w:r>
    </w:p>
    <w:p w14:paraId="21F32853" w14:textId="77777777" w:rsidR="005A0F82" w:rsidRDefault="00751BE9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(Lietuvos Respublios švietimo ir ministro </w:t>
      </w:r>
    </w:p>
    <w:p w14:paraId="21F32854" w14:textId="77777777" w:rsidR="005A0F82" w:rsidRDefault="00751BE9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2011 m. birželio 7 d. įsakymo Nr. V-1009 redakcija)</w:t>
      </w:r>
    </w:p>
    <w:p w14:paraId="21F32855" w14:textId="77777777" w:rsidR="005A0F82" w:rsidRDefault="005A0F82">
      <w:pPr>
        <w:widowControl w:val="0"/>
        <w:suppressAutoHyphens/>
        <w:jc w:val="both"/>
        <w:rPr>
          <w:color w:val="000000"/>
        </w:rPr>
      </w:pPr>
    </w:p>
    <w:p w14:paraId="21F32856" w14:textId="77777777" w:rsidR="005A0F82" w:rsidRDefault="00751BE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IKIMOKYKLINIO UGDYMO PROGRAMŲ KRITERIJŲ APRAŠAS</w:t>
      </w:r>
    </w:p>
    <w:p w14:paraId="21F32857" w14:textId="77777777" w:rsidR="005A0F82" w:rsidRDefault="005A0F82">
      <w:pPr>
        <w:widowControl w:val="0"/>
        <w:suppressAutoHyphens/>
        <w:jc w:val="both"/>
        <w:rPr>
          <w:color w:val="000000"/>
        </w:rPr>
      </w:pPr>
    </w:p>
    <w:p w14:paraId="21F32858" w14:textId="77777777" w:rsidR="005A0F82" w:rsidRDefault="00751BE9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>
        <w:rPr>
          <w:color w:val="000000"/>
          <w:spacing w:val="-2"/>
        </w:rPr>
        <w:t>. Ikimokyklinio amžiaus vaikai</w:t>
      </w:r>
      <w:r>
        <w:rPr>
          <w:color w:val="000000"/>
          <w:spacing w:val="-2"/>
        </w:rPr>
        <w:t xml:space="preserve"> ugdomi šeimoje, o tėvams (globėjams) pageidaujant ar švietimo ir mokslo ministro ir socialinės apsaugos ir darbo ministro nustatyta tvarka ir atvejais – pagal ikimokyklinio ugdymo programą (toliau – programa).</w:t>
      </w:r>
    </w:p>
    <w:p w14:paraId="21F32859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Švietimo teikėjai, remdamiesi Ikimokyk</w:t>
      </w:r>
      <w:r>
        <w:rPr>
          <w:color w:val="000000"/>
        </w:rPr>
        <w:t>linio ugdymo programų kriterijų aprašu (toliau – Kriterijai), rengia ir sistemingai atnaujina ikimokyklinio ugdymo programą.</w:t>
      </w:r>
    </w:p>
    <w:p w14:paraId="21F3285A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Švietimo teikėjų, kurie vykdo ikimokyklinio ugdymo programą, savininko teises ir pareigas įgyvendinanti institucija (dalyvių</w:t>
      </w:r>
      <w:r>
        <w:rPr>
          <w:color w:val="000000"/>
        </w:rPr>
        <w:t xml:space="preserve"> susirinkimas) (valstybinės ir savivaldybės mokyklos), savininkas (dalyvių susirinkimas) (kitų mokyklų), įvertinę šeimų, auginančių ikimokyklinio amžiaus vaikus, švietimo poreikius, teikia pritarimą programai. Programa ne vėliau kaip prieš mėnesį iki jos į</w:t>
      </w:r>
      <w:r>
        <w:rPr>
          <w:color w:val="000000"/>
        </w:rPr>
        <w:t>gyvendinimo pradžios tvirtinama švietimo teikėjo.</w:t>
      </w:r>
    </w:p>
    <w:p w14:paraId="21F3285B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Kriterijuose vartojamos sąvokos atitinka Lietuvos Respublikos švietimo įstatyme (Žin., 1991, Nr. </w:t>
      </w:r>
      <w:hyperlink r:id="rId13" w:tgtFrame="_blank" w:history="1">
        <w:r>
          <w:rPr>
            <w:color w:val="0000FF" w:themeColor="hyperlink"/>
            <w:u w:val="single"/>
          </w:rPr>
          <w:t>23-593</w:t>
        </w:r>
      </w:hyperlink>
      <w:r>
        <w:rPr>
          <w:color w:val="000000"/>
        </w:rPr>
        <w:t xml:space="preserve">; 2011, Nr. </w:t>
      </w:r>
      <w:hyperlink r:id="rId14" w:tgtFrame="_blank" w:history="1">
        <w:r>
          <w:rPr>
            <w:color w:val="0000FF" w:themeColor="hyperlink"/>
            <w:u w:val="single"/>
          </w:rPr>
          <w:t>38-1824</w:t>
        </w:r>
      </w:hyperlink>
      <w:r>
        <w:rPr>
          <w:color w:val="000000"/>
        </w:rPr>
        <w:t>) vartojamas sąvokas.</w:t>
      </w:r>
    </w:p>
    <w:p w14:paraId="21F3285C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Programą sudaro tokios dalys: bendrosios nuostatos; ikimokyklinio ugdymo principai; tikslai ir uždaviniai; turinys, metodai ir priemonės; ugdym</w:t>
      </w:r>
      <w:r>
        <w:rPr>
          <w:color w:val="000000"/>
        </w:rPr>
        <w:t>o pasiekimai ir jų vertinimas; naudota literatūra ir šaltiniai.</w:t>
      </w:r>
    </w:p>
    <w:p w14:paraId="21F3285D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Bendrosiose nuostatose nurodomas švietimo teikėjo pavadinimas, teisinė forma, grupė, tipas (jei skirstoma į tipus), adresas (jeigu švietimo teikėjas yra laisvasis mokytojas – jo vardas,</w:t>
      </w:r>
      <w:r>
        <w:rPr>
          <w:color w:val="000000"/>
        </w:rPr>
        <w:t xml:space="preserve"> pavardė, adresas); aprašomi vaikai ir jų poreikiai; mokytojų ir kitų specialistų pasirengimas; regiono ir švietimo teikėjo savitumas; tėvų (globėjų) ir vietos bendruomenės poreikiai. Atskleidžiamas požiūris į vaiką ir jo ugdymą remiantis Jungtinių Tautų v</w:t>
      </w:r>
      <w:r>
        <w:rPr>
          <w:color w:val="000000"/>
        </w:rPr>
        <w:t>aiko teisių konvencija, ratifikuota 1995 m. liepos 3 d. Lietuvos Respublikos įstatymu Nr. I-983 (Žin., 1995, Nr. 60-1501).</w:t>
      </w:r>
    </w:p>
    <w:p w14:paraId="21F3285E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Dalyje „Ikimokyklinio ugdymo principai“ aprašomi pedagoginiai principai (ugdymo integralumas, individualizavimas ir kt.), kuri</w:t>
      </w:r>
      <w:r>
        <w:rPr>
          <w:color w:val="000000"/>
        </w:rPr>
        <w:t>ų laikomasi planuojant ugdymo turinį, metodus, parenkant priemones, kuriant ugdymo aplinką, organizuojant ugdymo procesą, numatant pedagoginės sąveikos būdus, bendradarbiavimo su tėvais (globėjais), vietos bendruomene ir socialiniais partneriais formas.</w:t>
      </w:r>
    </w:p>
    <w:p w14:paraId="21F3285F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Dalyje „Tikslai ir uždaviniai“ nurodomi konkretaus švietimo teikėjo vaikų ugdymo tikslai, kurie grindžiami bendražmogiškomis vertybinėmis nuostatomis (tautiškumo, pilietiškumo, demokratiškumo ir kt.). Uždaviniai turi būti aiškūs, konkretūs, įgyvendina</w:t>
      </w:r>
      <w:r>
        <w:rPr>
          <w:color w:val="000000"/>
        </w:rPr>
        <w:t>mi, atitikti vaikų amžių, individualias jų ypatybes, tenkinti vaikų ir tėvų (globėjų) lūkesčius, atitikti realias švietimo teikėjo galimybes ir neprieštarauti šiuolaikinės pedagogikos nuostatoms.</w:t>
      </w:r>
    </w:p>
    <w:p w14:paraId="21F32860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Dalyje „Ugdymo turinys, metodai, priemonės“ nurodomas</w:t>
      </w:r>
      <w:r>
        <w:rPr>
          <w:color w:val="000000"/>
        </w:rPr>
        <w:t xml:space="preserve"> ugdymo turinys, metodai ir priemonės, kurie turi padėti įgyvendinti išsikeltus uždavinius ir aprėpti visų vaikui reikalingų kompetencijų (socialinės, komunikavimo, pažinimo, sveikatos saugojimo, meninės) ugdymą. Ugdymo turinys išdėstomas pagal kompetencij</w:t>
      </w:r>
      <w:r>
        <w:rPr>
          <w:color w:val="000000"/>
        </w:rPr>
        <w:t>as arba pasirinktą pedagoginę sistemą, projektus arba temas ir pan. Numatomi ugdymo metodai ir ugdymo priemonės reikalingos ugdymo turiniui įgyvendinti.</w:t>
      </w:r>
    </w:p>
    <w:p w14:paraId="21F32861" w14:textId="77777777" w:rsidR="005A0F82" w:rsidRDefault="00751BE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Dalyje „Ugdymo pasiekimai ir jų vertinimas“ aprašomi vaikų ugdymo pasiekimų vertinimo metodai, </w:t>
      </w:r>
      <w:r>
        <w:rPr>
          <w:color w:val="000000"/>
        </w:rPr>
        <w:t>vertinimo dažnumas, taip pat pasiekimų fiksavimo ir pateikimo formos.</w:t>
      </w:r>
    </w:p>
    <w:p w14:paraId="21F32862" w14:textId="77777777" w:rsidR="005A0F82" w:rsidRDefault="00751BE9">
      <w:pPr>
        <w:widowControl w:val="0"/>
        <w:suppressAutoHyphens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11</w:t>
      </w:r>
      <w:r>
        <w:rPr>
          <w:color w:val="000000"/>
          <w:spacing w:val="-3"/>
        </w:rPr>
        <w:t>. Dalyje „Naudota literatūra ir informacijos šaltiniai“ išvardijami literatūra ir šaltiniai, kuriais remiantis rengta programa.</w:t>
      </w:r>
    </w:p>
    <w:p w14:paraId="21F32863" w14:textId="77777777" w:rsidR="005A0F82" w:rsidRDefault="00751BE9">
      <w:pPr>
        <w:widowControl w:val="0"/>
        <w:suppressAutoHyphens/>
        <w:jc w:val="both"/>
        <w:rPr>
          <w:color w:val="000000"/>
        </w:rPr>
      </w:pPr>
    </w:p>
    <w:bookmarkStart w:id="0" w:name="_GoBack" w:displacedByCustomXml="next"/>
    <w:bookmarkEnd w:id="0" w:displacedByCustomXml="next"/>
    <w:p w14:paraId="21F32864" w14:textId="77777777" w:rsidR="005A0F82" w:rsidRDefault="00751BE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21F32865" w14:textId="77777777" w:rsidR="005A0F82" w:rsidRDefault="00751BE9"/>
    <w:sectPr w:rsidR="005A0F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2869" w14:textId="77777777" w:rsidR="005A0F82" w:rsidRDefault="00751BE9">
      <w:r>
        <w:separator/>
      </w:r>
    </w:p>
  </w:endnote>
  <w:endnote w:type="continuationSeparator" w:id="0">
    <w:p w14:paraId="21F3286A" w14:textId="77777777" w:rsidR="005A0F82" w:rsidRDefault="0075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86D" w14:textId="77777777" w:rsidR="005A0F82" w:rsidRDefault="005A0F8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86E" w14:textId="77777777" w:rsidR="005A0F82" w:rsidRDefault="005A0F8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870" w14:textId="77777777" w:rsidR="005A0F82" w:rsidRDefault="005A0F8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2867" w14:textId="77777777" w:rsidR="005A0F82" w:rsidRDefault="00751BE9">
      <w:r>
        <w:separator/>
      </w:r>
    </w:p>
  </w:footnote>
  <w:footnote w:type="continuationSeparator" w:id="0">
    <w:p w14:paraId="21F32868" w14:textId="77777777" w:rsidR="005A0F82" w:rsidRDefault="0075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86B" w14:textId="77777777" w:rsidR="005A0F82" w:rsidRDefault="005A0F8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86C" w14:textId="77777777" w:rsidR="005A0F82" w:rsidRDefault="005A0F8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86F" w14:textId="77777777" w:rsidR="005A0F82" w:rsidRDefault="005A0F8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0"/>
    <w:rsid w:val="005A0F82"/>
    <w:rsid w:val="00751BE9"/>
    <w:rsid w:val="00A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32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1B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1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75FE2733AF1"/>
  <Relationship Id="rId11" Type="http://schemas.openxmlformats.org/officeDocument/2006/relationships/hyperlink" TargetMode="External" Target="https://www.e-tar.lt/portal/lt/legalAct/TAR.1180EEE23880"/>
  <Relationship Id="rId12" Type="http://schemas.openxmlformats.org/officeDocument/2006/relationships/hyperlink" TargetMode="External" Target="https://www.e-tar.lt/portal/lt/legalAct/TAR.E2EBE95E7723"/>
  <Relationship Id="rId13" Type="http://schemas.openxmlformats.org/officeDocument/2006/relationships/hyperlink" TargetMode="External" Target="https://www.e-tar.lt/portal/lt/legalAct/TAR.9A3AD08EA5D0"/>
  <Relationship Id="rId14" Type="http://schemas.openxmlformats.org/officeDocument/2006/relationships/hyperlink" TargetMode="External" Target="https://www.e-tar.lt/portal/lt/legalAct/TAR.DA8946AE0FCF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0D"/>
    <w:rsid w:val="0034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0D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0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3184</Words>
  <Characters>1816</Characters>
  <Application>Microsoft Office Word</Application>
  <DocSecurity>0</DocSecurity>
  <Lines>15</Lines>
  <Paragraphs>9</Paragraphs>
  <ScaleCrop>false</ScaleCrop>
  <Company>Teisines informacijos centras</Company>
  <LinksUpToDate>false</LinksUpToDate>
  <CharactersWithSpaces>4991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2015-06-23T21:47:00Z</dcterms:created>
  <dc:creator>Sandra</dc:creator>
  <lastModifiedBy>RAKAUSKIENĖ Loreta</lastModifiedBy>
  <dcterms:modified xsi:type="dcterms:W3CDTF">2016-02-24T11:46:00Z</dcterms:modified>
  <revision>3</revision>
  <dc:title>LIETUVOS RESPUBLIKOS ŠVIETIMO IR MOKSLO MINISTRO</dc:title>
</coreProperties>
</file>